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7C" w:rsidRDefault="0085717C" w:rsidP="0085717C">
      <w:pPr>
        <w:pStyle w:val="ConsPlusNormal"/>
        <w:jc w:val="right"/>
        <w:outlineLvl w:val="2"/>
      </w:pPr>
      <w:r>
        <w:t>Приложение 17.2</w:t>
      </w:r>
    </w:p>
    <w:p w:rsidR="0085717C" w:rsidRDefault="0085717C" w:rsidP="0085717C">
      <w:pPr>
        <w:pStyle w:val="ConsPlusNormal"/>
        <w:jc w:val="right"/>
      </w:pPr>
      <w:r>
        <w:t>к приложению 17</w:t>
      </w:r>
    </w:p>
    <w:p w:rsidR="0085717C" w:rsidRDefault="0085717C" w:rsidP="0085717C">
      <w:pPr>
        <w:pStyle w:val="ConsPlusNormal"/>
        <w:jc w:val="right"/>
      </w:pPr>
      <w:r>
        <w:t>к Порядку...</w:t>
      </w:r>
    </w:p>
    <w:p w:rsidR="0085717C" w:rsidRDefault="0085717C" w:rsidP="0085717C">
      <w:pPr>
        <w:pStyle w:val="ConsPlusNormal"/>
        <w:jc w:val="right"/>
      </w:pPr>
    </w:p>
    <w:p w:rsidR="0085717C" w:rsidRDefault="0085717C" w:rsidP="0085717C">
      <w:pPr>
        <w:pStyle w:val="ConsPlusTitle"/>
        <w:jc w:val="center"/>
      </w:pPr>
      <w:bookmarkStart w:id="0" w:name="P3071"/>
      <w:bookmarkEnd w:id="0"/>
      <w:r>
        <w:t>ГРАНТ "ЛЕНИНГРАДСКИЙ ГЕКТАР"</w:t>
      </w:r>
    </w:p>
    <w:p w:rsidR="0085717C" w:rsidRDefault="0085717C" w:rsidP="008571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717C" w:rsidTr="00E0580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17C" w:rsidRDefault="0085717C" w:rsidP="00E058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17C" w:rsidRDefault="0085717C" w:rsidP="00E058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717C" w:rsidRDefault="0085717C" w:rsidP="00E058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717C" w:rsidRDefault="0085717C" w:rsidP="00E058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85717C" w:rsidRDefault="0085717C" w:rsidP="00E058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27.05.2025 </w:t>
            </w:r>
            <w:hyperlink r:id="rId6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07.07.2025 </w:t>
            </w:r>
            <w:hyperlink r:id="rId7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>,</w:t>
            </w:r>
          </w:p>
          <w:p w:rsidR="0085717C" w:rsidRDefault="0085717C" w:rsidP="00E058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8">
              <w:r>
                <w:rPr>
                  <w:color w:val="0000FF"/>
                </w:rPr>
                <w:t>N 753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17C" w:rsidRDefault="0085717C" w:rsidP="00E05803">
            <w:pPr>
              <w:pStyle w:val="ConsPlusNormal"/>
            </w:pPr>
          </w:p>
        </w:tc>
      </w:tr>
    </w:tbl>
    <w:p w:rsidR="0085717C" w:rsidRDefault="0085717C" w:rsidP="0085717C">
      <w:pPr>
        <w:pStyle w:val="ConsPlusNormal"/>
        <w:ind w:firstLine="540"/>
        <w:jc w:val="both"/>
      </w:pPr>
    </w:p>
    <w:p w:rsidR="0085717C" w:rsidRDefault="0085717C" w:rsidP="0085717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Грант "Ленинградский гектар" (далее - грант) предоставляется однократно категориям получателей гранта, указанным в </w:t>
      </w:r>
      <w:hyperlink w:anchor="P152">
        <w:r>
          <w:rPr>
            <w:color w:val="0000FF"/>
          </w:rPr>
          <w:t>подпунктах "а"</w:t>
        </w:r>
      </w:hyperlink>
      <w:r>
        <w:t xml:space="preserve"> и </w:t>
      </w:r>
      <w:hyperlink w:anchor="P153">
        <w:r>
          <w:rPr>
            <w:color w:val="0000FF"/>
          </w:rPr>
          <w:t>"б" пункта 1.6</w:t>
        </w:r>
      </w:hyperlink>
      <w:r>
        <w:t xml:space="preserve"> настоящего Порядка, признанным победителями отбора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отбора участников мероприятия "Ленинградский гектар", утвержденным постановлением Правительства Ленинградской области от 24 июля 2024 года N 502 (далее - грант, участник мероприятия, постановление Правительства Ленинградской области от 24 июля 2024 года N 502), а</w:t>
      </w:r>
      <w:proofErr w:type="gramEnd"/>
      <w:r>
        <w:t xml:space="preserve"> </w:t>
      </w:r>
      <w:proofErr w:type="gramStart"/>
      <w:r>
        <w:t xml:space="preserve">также находящимся в Едином реестре субъектов малого и среднего предпринимательства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  <w:proofErr w:type="gramEnd"/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Способом проведения отбора получателей гранта является запрос предложений.</w:t>
      </w:r>
    </w:p>
    <w:p w:rsidR="0085717C" w:rsidRDefault="0085717C" w:rsidP="0085717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31.03.2025 N 297)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Участник отбора может направить в комитет заявку только один раз в течение 12 месяцев со дня </w:t>
      </w:r>
      <w:proofErr w:type="gramStart"/>
      <w:r>
        <w:t>размещения результатов отбора участников мероприятия</w:t>
      </w:r>
      <w:proofErr w:type="gramEnd"/>
      <w:r>
        <w:t xml:space="preserve"> на едином портале и на официальном сайте комитета в сети "Интернет".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настоящего приложения под проектом понимается план создания и развития сельскохозяйственного производства, представленный в комитет при прохождении отбора участников мероприятия, содержащий направления расходования средств гранта, а также плановые показатели деятельности, направленные на увеличение объема производства и реализации сельскохозяйственной продукции (по годам, в течение пяти лет), со сроком окупаемости не более пяти лет.</w:t>
      </w:r>
      <w:proofErr w:type="gramEnd"/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3. Характеристика результата - реализация проектов получателями гранта "Ленинградский гектар" (единиц).</w:t>
      </w:r>
    </w:p>
    <w:p w:rsidR="0085717C" w:rsidRDefault="0085717C" w:rsidP="0085717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07.07.2025 N 596)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4. Средства гранта направляются: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proofErr w:type="gramStart"/>
      <w:r>
        <w:t>на 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продукции свиноводства), которые были выпущены не позднее трех лет до дня их приобретения получателем гранта и ранее не эксплуатировались.</w:t>
      </w:r>
      <w:proofErr w:type="gramEnd"/>
      <w:r>
        <w:t xml:space="preserve"> Перечень </w:t>
      </w:r>
      <w:proofErr w:type="gramStart"/>
      <w:r>
        <w:t>указанных</w:t>
      </w:r>
      <w:proofErr w:type="gramEnd"/>
      <w:r>
        <w:t xml:space="preserve"> техники, грузового автомобильного транспорта и оборудования утверждается распоряжением комитета;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на приобретение сельскохозяйственных животных (за исключением свиней) и птицы;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на приобретение семян и посадочного материала;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на приобретение минеральных удобрений и пестицидов;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lastRenderedPageBreak/>
        <w:t>на приобретение ограждений, предусмотренных для выпаса и выгула сельскохозяйственных животных, и ограждений плодово-ягодных насаждений.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Не допускается приобретение за счет сре</w:t>
      </w:r>
      <w:proofErr w:type="gramStart"/>
      <w:r>
        <w:t>дств гр</w:t>
      </w:r>
      <w:proofErr w:type="gramEnd"/>
      <w:r>
        <w:t>анта имущества, ранее приобретенного продавцом с использованием средств государственной поддержки.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5. Участник отбора в дополнение к требованиям, указанным в </w:t>
      </w:r>
      <w:hyperlink w:anchor="P306">
        <w:r>
          <w:rPr>
            <w:color w:val="0000FF"/>
          </w:rPr>
          <w:t>пункте 2.3</w:t>
        </w:r>
      </w:hyperlink>
      <w:r>
        <w:t xml:space="preserve"> настоящего Порядка, должен соответствовать следующим требованиям: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proofErr w:type="gramStart"/>
      <w:r>
        <w:t>отсутствие ранее полученных грантов в рамках реализации государственной программы Ленинградской области "Развитие сельского хозяйства Ленинградской области";</w:t>
      </w:r>
      <w:proofErr w:type="gramEnd"/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страхование имущества (отнесенного </w:t>
      </w:r>
      <w:proofErr w:type="gramStart"/>
      <w:r>
        <w:t>к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средствам в соответствии с принятой у участника отбора учетной политикой), приобретенного с использованием средств гранта и подлежащее страхованию в соответствии с законодательством, в течение шести месяцев со дня приобретения на срок реализации проекта получателя гранта;</w:t>
      </w:r>
    </w:p>
    <w:p w:rsidR="0085717C" w:rsidRDefault="0085717C" w:rsidP="0085717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27.05.2025 N 470)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proofErr w:type="gramStart"/>
      <w:r>
        <w:t>использование приобретенного с государственной поддержкой имущества исключительно на реализацию проекта получателя гранта на земельном участке, предоставленном в аренду в рамках мероприятия "Ленинградский гектар", в течение не менее пяти лет со дня его приобретения, а также соблюдение запрета на осуществление продажи, дарения, передачи в аренду, обмена, передачи в безвозмездное (возмездное) пользование, внесения в виде пая, вклада и отчуждения такого имущества иным</w:t>
      </w:r>
      <w:proofErr w:type="gramEnd"/>
      <w:r>
        <w:t xml:space="preserve"> образом в соответствии с законодательством;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обязательство: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месяца, в котором выполнено последнее мероприятие плана расходов получателя гранта;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о достижении плановых показателей деятельности, предусмотренных проектом.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6. Участниками отбора в дополнение к документам, указанным в </w:t>
      </w:r>
      <w:hyperlink w:anchor="P322">
        <w:r>
          <w:rPr>
            <w:color w:val="0000FF"/>
          </w:rPr>
          <w:t>пункте 2.4</w:t>
        </w:r>
      </w:hyperlink>
      <w:r>
        <w:t xml:space="preserve"> настоящего Порядка, представляются следующие документы: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заявление по форме, утвержденной приказом комитета;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справка-расчет по форме, утвержденной приказом комитета;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договор аренды земельного участка, предоставленного в рамках мероприятия "Ленинградский гектар";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план расходов по направлениям, соответствующим виду деятельности, указанному в проекте, с указанием наименований приобретаемого имущества, их количества и цены, по форме, утвержденной приказом комитета;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решение участника мероприятия о создании </w:t>
      </w:r>
      <w:proofErr w:type="gramStart"/>
      <w:r>
        <w:t>К(</w:t>
      </w:r>
      <w:proofErr w:type="gramEnd"/>
      <w:r>
        <w:t>Ф)Х (о ведении К(Ф)Х в качестве главы К(Ф)Х) или соглашение о создании К(Ф)Х между членами хозяйства и избрании участника мероприятия главой К(Ф)Х.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7. Комитет в рамках межведомственного информационного взаимодействия с использованием сервиса ФНС России проверяет в отношении участника отбора нахождение в Едином реестре субъектов малого и среднего предпринимательства.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8. Размер гранта, предоставляемого конкретному участнику отбора, определяется решением </w:t>
      </w:r>
      <w:r>
        <w:lastRenderedPageBreak/>
        <w:t xml:space="preserve">комитета с учетом плана расходов участника отбора в размере, не </w:t>
      </w:r>
      <w:r w:rsidRPr="0085717C">
        <w:t xml:space="preserve">превышающем 3 </w:t>
      </w:r>
      <w:proofErr w:type="gramStart"/>
      <w:r w:rsidRPr="0085717C">
        <w:t>млн</w:t>
      </w:r>
      <w:proofErr w:type="gramEnd"/>
      <w:r w:rsidRPr="0085717C">
        <w:t xml:space="preserve"> рублей</w:t>
      </w:r>
      <w:bookmarkStart w:id="1" w:name="_GoBack"/>
      <w:bookmarkEnd w:id="1"/>
      <w:r>
        <w:t>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9. Срок освоения гранта составляет не более 24 месяцев со дня его поступления на счет победителя отбора. В случае наступления обстоятельств непреодолимой силы, препятствующих освоению сре</w:t>
      </w:r>
      <w:proofErr w:type="gramStart"/>
      <w:r>
        <w:t>дств гр</w:t>
      </w:r>
      <w:proofErr w:type="gramEnd"/>
      <w:r>
        <w:t xml:space="preserve">анта в установленный срок, срок освоения средств гранта может быть продлен по решению комитета, но не более чем на шесть месяцев. </w:t>
      </w:r>
      <w:proofErr w:type="gramStart"/>
      <w:r>
        <w:t>Основанием для принятия решения о продлении срока освоения средств гранта является письменное обращение получателя гранта, содержащее обоснование, а также документальное подтверждение наступления обстоятельств непреодолимой силы, препятствующих освоению средств гранта в установленный срок, представленные получателем гранта в комитет в срок, не превышающий 30 календарных дней до даты окончания срока освоения средств гранта.</w:t>
      </w:r>
      <w:proofErr w:type="gramEnd"/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соответствии с </w:t>
      </w:r>
      <w:hyperlink w:anchor="P513">
        <w:r>
          <w:rPr>
            <w:color w:val="0000FF"/>
          </w:rPr>
          <w:t>пунктом 4.2</w:t>
        </w:r>
      </w:hyperlink>
      <w:r>
        <w:t xml:space="preserve"> настоящего Порядка в дополнение к отчетности, установленной </w:t>
      </w:r>
      <w:hyperlink w:anchor="P506">
        <w:r>
          <w:rPr>
            <w:color w:val="0000FF"/>
          </w:rPr>
          <w:t>пунктом 4.1</w:t>
        </w:r>
      </w:hyperlink>
      <w:r>
        <w:t xml:space="preserve"> настоящего Порядка, получатели гранта не позднее 10-го рабочего дня месяца, следующего за отчетным кварталом, в течение срока, установленного соглашением, представляют в комитет документы, подтверждающие произведенные расходы (договор, универсальный передаточный документ или товарную накладную и счет-фактуру (при наличии налога на добавленную стоимость), платежное поручение).</w:t>
      </w:r>
      <w:proofErr w:type="gramEnd"/>
    </w:p>
    <w:p w:rsidR="0085717C" w:rsidRDefault="0085717C" w:rsidP="0085717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29.08.2025 N 753)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11. Расходование сре</w:t>
      </w:r>
      <w:proofErr w:type="gramStart"/>
      <w:r>
        <w:t>дств гр</w:t>
      </w:r>
      <w:proofErr w:type="gramEnd"/>
      <w:r>
        <w:t>анта осуществляется только в пределах и по направлениям плана расходов получателя гранта.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proofErr w:type="gramStart"/>
      <w:r>
        <w:t>Внесение изменений в план расходов в случае изменения направлений затрат, планируемых за счет средств гранта, указанных в проекте, которые не приводят к ухудшению плановых показателей деятельности и увеличению финансирования проекта, а также соответствуют целям и задачам реализации проекта, осуществляется по решению комитета на основании письменного обращения получателя гранта, путем заключения дополнительного соглашения в случаях:</w:t>
      </w:r>
      <w:proofErr w:type="gramEnd"/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возникновения обстоятельств непреодолимой силы;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образовавшейся экономии сре</w:t>
      </w:r>
      <w:proofErr w:type="gramStart"/>
      <w:r>
        <w:t>дств гр</w:t>
      </w:r>
      <w:proofErr w:type="gramEnd"/>
      <w:r>
        <w:t>анта;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роста цен на товары, предусмотренные планом расходов (далее - товары);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длительного отсутствия (не менее трех месяцев) на рынке товаров, отказа поставщика либо снятия товаров с производства (при условии представления в комитет предварительных договоров на приобретение товаров).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proofErr w:type="gramStart"/>
      <w:r>
        <w:t>Внесение изменений в проект, в соглашение, заключенное между получателем гранта и комитетом, в том числе в плановые значения показателей деятельности, установленные соглашением, осуществляется по решению комитета на основании письменного обращения получателя гранта о внесении изменений ввиду наличия обстоятельств, возникших после заключения соглашения, которые получатель гранта не мог предвидеть на момент заключения соглашения, путем заключения дополнительного соглашения.</w:t>
      </w:r>
      <w:proofErr w:type="gramEnd"/>
    </w:p>
    <w:p w:rsidR="0085717C" w:rsidRDefault="0085717C" w:rsidP="0085717C">
      <w:pPr>
        <w:pStyle w:val="ConsPlusNormal"/>
        <w:spacing w:before="220"/>
        <w:ind w:firstLine="540"/>
        <w:jc w:val="both"/>
      </w:pPr>
      <w:proofErr w:type="gramStart"/>
      <w:r>
        <w:t>В случае необходимости внесения изменений в плановые значения показателей деятельности, в том числе текущего финансового года, получатель гранта направляет в комитет в срок до 1 ноября текущего финансового года письменное обращение о внесении изменений, содержащее обоснование для изменения плановых значений показателей деятельности, а также указание новых значений, не приводящих к ухудшению плановых показателей деятельности в период реализации проекта.</w:t>
      </w:r>
      <w:proofErr w:type="gramEnd"/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Решение об одобрении или отклонении предложенных получателем гранта изменений принимается комитетом в течение 30 календарных дней со дня поступления соответствующего обращения в комитет. Решение комитета направляется получателю гранта по адресу электронной </w:t>
      </w:r>
      <w:r>
        <w:lastRenderedPageBreak/>
        <w:t>почты, указанному в заявке, в срок, не превышающий пяти рабочих дней со дня его подписания.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Внесение изменений по решению комитета в проект, а также в плановые значения показателей деятельности допускается не более двух раз в период реализации проекта.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 xml:space="preserve">Изменение направления деятельности, указанного в заявке участника мероприятия, отобранной конкурсной комиссией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 июля 2024 года N 502, а также плановых значений показателей деятельности прошлых периодов не допускается.</w:t>
      </w:r>
    </w:p>
    <w:p w:rsidR="0085717C" w:rsidRDefault="0085717C" w:rsidP="0085717C">
      <w:pPr>
        <w:pStyle w:val="ConsPlusNormal"/>
        <w:spacing w:before="220"/>
        <w:ind w:firstLine="540"/>
        <w:jc w:val="both"/>
      </w:pPr>
      <w:r>
        <w:t>12. В случае принятия решения о расторжении договора аренды земельного участка, предоставленного в целях реализации мероприятия "Ленинградский гектар", средства гранта подлежат возврату в областной бюджет Ленинградской области в полном объеме в течение одного месяца со дня расторжения договора.</w:t>
      </w:r>
    </w:p>
    <w:p w:rsidR="0085717C" w:rsidRDefault="0085717C" w:rsidP="0085717C">
      <w:pPr>
        <w:pStyle w:val="ConsPlusNormal"/>
        <w:jc w:val="both"/>
      </w:pPr>
    </w:p>
    <w:p w:rsidR="00E7004F" w:rsidRDefault="00E7004F"/>
    <w:sectPr w:rsidR="00E7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7C"/>
    <w:rsid w:val="0085717C"/>
    <w:rsid w:val="00E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438&amp;dst=100101" TargetMode="External"/><Relationship Id="rId13" Type="http://schemas.openxmlformats.org/officeDocument/2006/relationships/hyperlink" Target="https://login.consultant.ru/link/?req=doc&amp;base=SPB&amp;n=311878&amp;dst=100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3885&amp;dst=100012" TargetMode="External"/><Relationship Id="rId12" Type="http://schemas.openxmlformats.org/officeDocument/2006/relationships/hyperlink" Target="https://login.consultant.ru/link/?req=doc&amp;base=SPB&amp;n=313885&amp;dst=10001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1878&amp;dst=100184" TargetMode="External"/><Relationship Id="rId11" Type="http://schemas.openxmlformats.org/officeDocument/2006/relationships/hyperlink" Target="https://login.consultant.ru/link/?req=doc&amp;base=SPB&amp;n=308951&amp;dst=100719" TargetMode="External"/><Relationship Id="rId5" Type="http://schemas.openxmlformats.org/officeDocument/2006/relationships/hyperlink" Target="https://login.consultant.ru/link/?req=doc&amp;base=SPB&amp;n=308951&amp;dst=100719" TargetMode="External"/><Relationship Id="rId15" Type="http://schemas.openxmlformats.org/officeDocument/2006/relationships/hyperlink" Target="https://login.consultant.ru/link/?req=doc&amp;base=SPB&amp;n=295566" TargetMode="External"/><Relationship Id="rId10" Type="http://schemas.openxmlformats.org/officeDocument/2006/relationships/hyperlink" Target="https://login.consultant.ru/link/?req=doc&amp;base=LAW&amp;n=511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5566&amp;dst=100010" TargetMode="External"/><Relationship Id="rId14" Type="http://schemas.openxmlformats.org/officeDocument/2006/relationships/hyperlink" Target="https://login.consultant.ru/link/?req=doc&amp;base=SPB&amp;n=316438&amp;dst=10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Салтыкова</dc:creator>
  <cp:lastModifiedBy>Елена Владимировна Салтыкова</cp:lastModifiedBy>
  <cp:revision>1</cp:revision>
  <dcterms:created xsi:type="dcterms:W3CDTF">2026-01-19T14:48:00Z</dcterms:created>
  <dcterms:modified xsi:type="dcterms:W3CDTF">2026-01-19T14:49:00Z</dcterms:modified>
</cp:coreProperties>
</file>