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FD0" w:rsidRDefault="00622FD0" w:rsidP="00622FD0">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39</w:t>
      </w:r>
    </w:p>
    <w:p w:rsidR="00622FD0" w:rsidRDefault="00622FD0" w:rsidP="00622FD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Порядку...</w:t>
      </w:r>
    </w:p>
    <w:p w:rsidR="00622FD0" w:rsidRDefault="00622FD0" w:rsidP="00622FD0">
      <w:pPr>
        <w:autoSpaceDE w:val="0"/>
        <w:autoSpaceDN w:val="0"/>
        <w:adjustRightInd w:val="0"/>
        <w:spacing w:after="0" w:line="240" w:lineRule="auto"/>
        <w:jc w:val="both"/>
        <w:rPr>
          <w:rFonts w:ascii="Arial" w:hAnsi="Arial" w:cs="Arial"/>
          <w:sz w:val="20"/>
          <w:szCs w:val="20"/>
        </w:rPr>
      </w:pPr>
    </w:p>
    <w:p w:rsidR="00622FD0" w:rsidRDefault="00622FD0" w:rsidP="00622FD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СУБСИДИИ</w:t>
      </w:r>
    </w:p>
    <w:p w:rsidR="00622FD0" w:rsidRDefault="00622FD0" w:rsidP="00622FD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НА ВОЗМЕЩЕНИЕ ЧАСТИ ПРЯМЫХ ПОНЕСЕННЫХ ЗАТРАТ НА СОЗДАНИЕ</w:t>
      </w:r>
    </w:p>
    <w:p w:rsidR="00622FD0" w:rsidRDefault="00622FD0" w:rsidP="00622FD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И(ИЛИ) МОДЕРНИЗАЦИЮ ОБЪЕКТОВ АГРОПРОМЫШЛЕННОГО КОМПЛЕКСА</w:t>
      </w:r>
    </w:p>
    <w:p w:rsidR="00622FD0" w:rsidRDefault="00622FD0" w:rsidP="00622FD0">
      <w:pPr>
        <w:autoSpaceDE w:val="0"/>
        <w:autoSpaceDN w:val="0"/>
        <w:adjustRightInd w:val="0"/>
        <w:spacing w:after="0" w:line="240" w:lineRule="auto"/>
        <w:jc w:val="center"/>
        <w:rPr>
          <w:rFonts w:ascii="Arial" w:hAnsi="Arial" w:cs="Arial"/>
          <w:b/>
          <w:bCs/>
          <w:sz w:val="20"/>
          <w:szCs w:val="20"/>
        </w:rPr>
      </w:pPr>
    </w:p>
    <w:p w:rsidR="00622FD0" w:rsidRDefault="00622FD0" w:rsidP="00622FD0">
      <w:pPr>
        <w:autoSpaceDE w:val="0"/>
        <w:autoSpaceDN w:val="0"/>
        <w:adjustRightInd w:val="0"/>
        <w:spacing w:after="0" w:line="240" w:lineRule="auto"/>
        <w:jc w:val="center"/>
        <w:rPr>
          <w:rFonts w:ascii="Arial" w:hAnsi="Arial" w:cs="Arial"/>
          <w:b/>
          <w:bCs/>
          <w:sz w:val="20"/>
          <w:szCs w:val="20"/>
        </w:rPr>
      </w:pPr>
    </w:p>
    <w:p w:rsidR="00622FD0" w:rsidRDefault="00622FD0" w:rsidP="00622FD0">
      <w:pPr>
        <w:autoSpaceDE w:val="0"/>
        <w:autoSpaceDN w:val="0"/>
        <w:adjustRightInd w:val="0"/>
        <w:spacing w:after="0" w:line="240" w:lineRule="auto"/>
        <w:jc w:val="center"/>
        <w:rPr>
          <w:rFonts w:ascii="Arial" w:hAnsi="Arial" w:cs="Arial"/>
          <w:b/>
          <w:bCs/>
          <w:sz w:val="20"/>
          <w:szCs w:val="20"/>
        </w:rPr>
      </w:pPr>
    </w:p>
    <w:p w:rsidR="00622FD0" w:rsidRDefault="00622FD0" w:rsidP="00622FD0">
      <w:pPr>
        <w:autoSpaceDE w:val="0"/>
        <w:autoSpaceDN w:val="0"/>
        <w:adjustRightInd w:val="0"/>
        <w:spacing w:after="0" w:line="240" w:lineRule="auto"/>
        <w:ind w:firstLine="540"/>
        <w:jc w:val="both"/>
        <w:rPr>
          <w:rFonts w:ascii="Arial" w:hAnsi="Arial" w:cs="Arial"/>
          <w:b/>
          <w:bCs/>
          <w:sz w:val="20"/>
          <w:szCs w:val="20"/>
        </w:rPr>
      </w:pPr>
    </w:p>
    <w:p w:rsidR="00622FD0" w:rsidRPr="00622FD0" w:rsidRDefault="00622FD0" w:rsidP="00622FD0">
      <w:pPr>
        <w:autoSpaceDE w:val="0"/>
        <w:autoSpaceDN w:val="0"/>
        <w:adjustRightInd w:val="0"/>
        <w:spacing w:after="0" w:line="240" w:lineRule="auto"/>
        <w:ind w:firstLine="540"/>
        <w:jc w:val="both"/>
        <w:rPr>
          <w:rFonts w:ascii="Arial" w:hAnsi="Arial" w:cs="Arial"/>
          <w:bCs/>
          <w:sz w:val="20"/>
          <w:szCs w:val="20"/>
        </w:rPr>
      </w:pPr>
      <w:r w:rsidRPr="00622FD0">
        <w:rPr>
          <w:rFonts w:ascii="Arial" w:hAnsi="Arial" w:cs="Arial"/>
          <w:bCs/>
          <w:sz w:val="20"/>
          <w:szCs w:val="20"/>
        </w:rPr>
        <w:t>За счет средств областного бюджета Ленинградской области:</w:t>
      </w:r>
    </w:p>
    <w:p w:rsidR="00622FD0" w:rsidRPr="00684C1C" w:rsidRDefault="00622FD0" w:rsidP="00622FD0">
      <w:pPr>
        <w:autoSpaceDE w:val="0"/>
        <w:autoSpaceDN w:val="0"/>
        <w:adjustRightInd w:val="0"/>
        <w:spacing w:before="200" w:after="0" w:line="240" w:lineRule="auto"/>
        <w:ind w:firstLine="540"/>
        <w:jc w:val="both"/>
        <w:rPr>
          <w:rFonts w:ascii="Arial" w:hAnsi="Arial" w:cs="Arial"/>
          <w:bCs/>
          <w:i/>
          <w:sz w:val="20"/>
          <w:szCs w:val="20"/>
          <w:u w:val="single"/>
        </w:rPr>
      </w:pPr>
      <w:r w:rsidRPr="00684C1C">
        <w:rPr>
          <w:rFonts w:ascii="Arial" w:hAnsi="Arial" w:cs="Arial"/>
          <w:bCs/>
          <w:sz w:val="20"/>
          <w:szCs w:val="20"/>
        </w:rPr>
        <w:t xml:space="preserve">а) возмещение части прямых понесенных затрат на создание и(или) модернизацию объектов </w:t>
      </w:r>
      <w:r w:rsidRPr="00684C1C">
        <w:rPr>
          <w:rFonts w:ascii="Arial" w:hAnsi="Arial" w:cs="Arial"/>
          <w:bCs/>
          <w:i/>
          <w:sz w:val="20"/>
          <w:szCs w:val="20"/>
          <w:u w:val="single"/>
        </w:rPr>
        <w:t>агропромышленного комплекса;</w:t>
      </w:r>
    </w:p>
    <w:p w:rsidR="00622FD0" w:rsidRPr="00684C1C" w:rsidRDefault="00622FD0" w:rsidP="00622FD0">
      <w:pPr>
        <w:autoSpaceDE w:val="0"/>
        <w:autoSpaceDN w:val="0"/>
        <w:adjustRightInd w:val="0"/>
        <w:spacing w:before="200" w:after="0" w:line="240" w:lineRule="auto"/>
        <w:ind w:firstLine="540"/>
        <w:jc w:val="both"/>
        <w:rPr>
          <w:rFonts w:ascii="Arial" w:hAnsi="Arial" w:cs="Arial"/>
          <w:bCs/>
          <w:sz w:val="20"/>
          <w:szCs w:val="20"/>
        </w:rPr>
      </w:pPr>
      <w:r w:rsidRPr="00684C1C">
        <w:rPr>
          <w:rFonts w:ascii="Arial" w:hAnsi="Arial" w:cs="Arial"/>
          <w:bCs/>
          <w:sz w:val="20"/>
          <w:szCs w:val="20"/>
        </w:rPr>
        <w:t xml:space="preserve">б) возмещение части прямых понесенных затрат на создание и(или) модернизацию объектов по </w:t>
      </w:r>
      <w:r w:rsidRPr="00684C1C">
        <w:rPr>
          <w:rFonts w:ascii="Arial" w:hAnsi="Arial" w:cs="Arial"/>
          <w:bCs/>
          <w:i/>
          <w:sz w:val="20"/>
          <w:szCs w:val="20"/>
          <w:u w:val="single"/>
        </w:rPr>
        <w:t>переработке сельскохозяйственной продукции.</w:t>
      </w:r>
    </w:p>
    <w:p w:rsidR="00622FD0" w:rsidRDefault="00622FD0" w:rsidP="00622FD0">
      <w:pPr>
        <w:autoSpaceDE w:val="0"/>
        <w:autoSpaceDN w:val="0"/>
        <w:adjustRightInd w:val="0"/>
        <w:spacing w:after="0" w:line="240" w:lineRule="auto"/>
        <w:jc w:val="center"/>
        <w:rPr>
          <w:rFonts w:ascii="Arial" w:hAnsi="Arial" w:cs="Arial"/>
          <w:b/>
          <w:bCs/>
          <w:sz w:val="20"/>
          <w:szCs w:val="20"/>
        </w:rPr>
      </w:pPr>
    </w:p>
    <w:p w:rsidR="00622FD0" w:rsidRDefault="00622FD0" w:rsidP="00622FD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(ДОКУМЕНТЫ</w:t>
      </w:r>
      <w:r w:rsidR="00CE0D88">
        <w:rPr>
          <w:rFonts w:ascii="Arial" w:hAnsi="Arial" w:cs="Arial"/>
          <w:b/>
          <w:bCs/>
          <w:sz w:val="20"/>
          <w:szCs w:val="20"/>
        </w:rPr>
        <w:t xml:space="preserve"> В НОВОЙ РЕДАКЦИИ</w:t>
      </w:r>
      <w:r>
        <w:rPr>
          <w:rFonts w:ascii="Arial" w:hAnsi="Arial" w:cs="Arial"/>
          <w:b/>
          <w:bCs/>
          <w:sz w:val="20"/>
          <w:szCs w:val="20"/>
        </w:rPr>
        <w:t xml:space="preserve">) </w:t>
      </w:r>
    </w:p>
    <w:p w:rsidR="00622FD0" w:rsidRDefault="00622FD0" w:rsidP="00622FD0">
      <w:pPr>
        <w:autoSpaceDE w:val="0"/>
        <w:autoSpaceDN w:val="0"/>
        <w:adjustRightInd w:val="0"/>
        <w:spacing w:after="0" w:line="240" w:lineRule="auto"/>
        <w:jc w:val="both"/>
        <w:rPr>
          <w:rFonts w:ascii="Arial" w:hAnsi="Arial" w:cs="Arial"/>
          <w:sz w:val="20"/>
          <w:szCs w:val="20"/>
        </w:rPr>
      </w:pPr>
    </w:p>
    <w:p w:rsidR="00622FD0" w:rsidRPr="00684C1C" w:rsidRDefault="00622FD0" w:rsidP="00622FD0">
      <w:pPr>
        <w:autoSpaceDE w:val="0"/>
        <w:autoSpaceDN w:val="0"/>
        <w:adjustRightInd w:val="0"/>
        <w:spacing w:after="0" w:line="240" w:lineRule="auto"/>
        <w:ind w:firstLine="540"/>
        <w:jc w:val="both"/>
        <w:rPr>
          <w:rFonts w:ascii="Arial" w:hAnsi="Arial" w:cs="Arial"/>
          <w:sz w:val="28"/>
          <w:szCs w:val="28"/>
        </w:rPr>
      </w:pPr>
    </w:p>
    <w:p w:rsidR="00622FD0" w:rsidRPr="00684C1C" w:rsidRDefault="00622FD0" w:rsidP="00622FD0">
      <w:pPr>
        <w:autoSpaceDE w:val="0"/>
        <w:autoSpaceDN w:val="0"/>
        <w:adjustRightInd w:val="0"/>
        <w:spacing w:after="0" w:line="240" w:lineRule="auto"/>
        <w:ind w:firstLine="540"/>
        <w:jc w:val="both"/>
        <w:rPr>
          <w:rFonts w:ascii="Arial" w:hAnsi="Arial" w:cs="Arial"/>
          <w:sz w:val="28"/>
          <w:szCs w:val="28"/>
        </w:rPr>
      </w:pPr>
      <w:r w:rsidRPr="00684C1C">
        <w:rPr>
          <w:rFonts w:ascii="Arial" w:hAnsi="Arial" w:cs="Arial"/>
          <w:b/>
          <w:sz w:val="28"/>
          <w:szCs w:val="28"/>
          <w:highlight w:val="yellow"/>
        </w:rPr>
        <w:t>5.1. Субсидии предоставляются на создание и(или) модернизацию следующих объектов: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bookmarkStart w:id="0" w:name="Par1"/>
      <w:bookmarkEnd w:id="0"/>
      <w:r>
        <w:rPr>
          <w:rFonts w:ascii="Arial" w:hAnsi="Arial" w:cs="Arial"/>
          <w:sz w:val="20"/>
          <w:szCs w:val="20"/>
        </w:rPr>
        <w:t>а) хранилище - комплекс зданий, строений или сооружений, предназначенных для хранения и(или) подработки различных видов плодов, ягод, зерна, семян масличных культур, оснащенных соответствующим технологическим оборудованием и включающих при необходимости теплоэнергетические центры,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тепличный комплекс для производства овощей в защищенном грунте - комплекс зданий, строений или сооружений, в том числе остекленных, и(или) с пленочным покрытием, и(или) с покрытием из поликарбоната, предназначенных для круглогодичного промышленного производства овощей в защищенном грунте, оснащенных необходимым технологическим и агротехническим оборудованием и включающих при необходимости теплоэнергетические центры,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свиноводческий комплекс - комплекс зданий, строений или сооружений, предназначенных для обеспечения производства свинины и оснащенных производственными помещениями для производства кормов, содержания, искусственного осеменения и воспроизводства животных, выращивания молодняка, откорма, убоя, разделки, собственной первичной переработки, термической обработки и хранения готовой продукции, связанных единым технологическим процессом на базе комплексной механизации производственных процессов, включающий здания вспомогательного назначения - ветеринарно-санитарные и хозяйственно-бытовые постройки, инженерные коммуникации, сооружения для хранения и приготовления кормов, хранения навоза;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селекционно-генетический центр в животноводстве - комплекс зданий, строений и сооружений, предназначенных для ведения крупномасштабной селекции крупного рогатого скота, свиней и птицы, для разведения и трансплантации эмбрионов крупного рогатого скота, а также для организации учета оценки уровня продуктивности племенных животных и качества животноводческой продукции, в том числе посредством использования автоматизированных систем управления селекционно-племенной работой, оснащенный соответствующим технологическим оборудованием и созданный на базе племенного хозяйства, имеющего свидетельство о регистрации в государственном племенном регистре;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животноводческий комплекс молочного направления (молочная ферма) - комплекс зданий, строений или сооружений, предназначенных для обеспечения производства молока и оснащенных </w:t>
      </w:r>
      <w:r>
        <w:rPr>
          <w:rFonts w:ascii="Arial" w:hAnsi="Arial" w:cs="Arial"/>
          <w:sz w:val="20"/>
          <w:szCs w:val="20"/>
        </w:rPr>
        <w:lastRenderedPageBreak/>
        <w:t>производственными помещениями для содержания и доения коров и(или) коз и(или) выращивания молодняка крупного рогатого скота и(или) коз молочных пород, искусственного осеменения, связанными единым технологическим процессом на базе комплексной механизации производственных процессов, а также специализированные фермы и(или) площадки по выращиванию и(или) откорму молодняка крупного рогатого скота молочных пород, здания вспомогательного назначения - ветеринарно-санитарные и хозяйственно-бытовые постройки, инженерные коммуникации, сооружения для хранения и приготовления кормов, хранения навоза, объекты (помещения) для стоянки, ремонта и обслуживания техники;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комплекс для производства продукции грибоводства (комплекс для производства грибов (тепличный комплекс для производства грибов) и(или) завод (цех) по производству компоста для выращивания грибов) - комплекс зданий, строений или сооружений, предназначенный для круглогодичного промышленного производства культивируемых грибов и(или) компоста (субстрата) для их выращивания, оснащенный необходимым технологическим и агротехническим оборудованием и машинами, включающий в том числе теплоэнергетические центры и(или) котельные с соответствующим технологическим оборудованием, внутренние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 административно-бытовой комплекс, зоны фасовки, упаковки и отгрузки, а также здание для приготовления и хранения покровной почвы (технологическое здание);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птицеводческий комплекс мясного (яичного) направления - комплекс зданий, строений или сооружений, предназначенных для содержания, выращивания и воспроизводства птицы мясных (яичных) пород, оснащенных производственными помещениями для содержания, выращивания (откорма), воспроизводства птицы мясных (яичных) пород, связанными единым технологическим процессом на базе комплексной механизации производственных процессов, зданиями вспомогательного назначения - ветеринарно-санитарными и хозяйственно-бытовыми постройками, инженерными коммуникациями, инкубаториями, лабораториями, цехами убоя и переработки, сооружениями для хранения готовой продукции, цехами сбора, сортировки и переработки яйца, сооружениями для хранения и приготовления кормов, хранения и переработки помета, помещениями для стоянки техники;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репродуктор первого порядка для производства родительских форм птицы яичного и(или) мясного направлений продуктивности - комплекс зданий, строений и сооружений, предназначенных для содержания прародительских форм птицы яичного и(или) мясного направлений продуктивности, оснащенных производственными помещениями для содержания, выращивания молодняка, связанными единым технологическим процессом на базе комплексной механизации производственных процессов, зданиями вспомогательного назначения (ветеринарно-санитарными и хозяйственно-бытовыми постройками, инженерными коммуникациями, сооружениями для хранения и приготовления кормов, хранения навоза);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репродуктор второго порядка для производства инкубационного яйца финального гибрида птицы яичного и(или) мясного направлений продуктивности - комплекс зданий, строений и сооружений, предназначенных для содержания родительских форм птицы яичного и(или) мясного направлений продуктивности, оснащенных производственными помещениями для содержания, выращивания молодняка, связанными единым технологическим процессом на базе комплексной механизации производственных процессов, зданиями вспомогательного назначения (ветеринарно-санитарными и хозяйственно-бытовыми постройками, инженерными коммуникациями, сооружениями для хранения и приготовления кормов, хранения навоза);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bookmarkStart w:id="1" w:name="Par10"/>
      <w:bookmarkEnd w:id="1"/>
      <w:r>
        <w:rPr>
          <w:rFonts w:ascii="Arial" w:hAnsi="Arial" w:cs="Arial"/>
          <w:sz w:val="20"/>
          <w:szCs w:val="20"/>
        </w:rPr>
        <w:t>к) тепличный комплекс для выращивания цветочной продукции - комплекс зданий, строений или сооружений, в том числе остекленных, и(или) с пленочным покрытием, и(или) с покрытием из поликарбоната, предназначенных для круглогодичного промышленного выращивания цветочной продукции в защищенном грунте, оснащенных необходимым технологическим и агротехническим оборудованием, включающий при необходимости теплоэнергетические центры,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 том числе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bookmarkStart w:id="2" w:name="Par11"/>
      <w:bookmarkEnd w:id="2"/>
      <w:r>
        <w:rPr>
          <w:rFonts w:ascii="Arial" w:hAnsi="Arial" w:cs="Arial"/>
          <w:sz w:val="20"/>
          <w:szCs w:val="20"/>
        </w:rPr>
        <w:t>л) объекты для выращивания рыбы (понтон (садок) рыбоводный для выращивания рыбы) - специальная плавающая конструкция для ограничения пространства путем установки сети (дели).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Размер субсидии рассчитывается исходя из дифференцированных ставок фактической стоимости объекта (но не выше предельной стоимости объекта), установленных распоряжением комитета.</w:t>
      </w:r>
    </w:p>
    <w:p w:rsidR="00622FD0" w:rsidRDefault="00622FD0" w:rsidP="00622FD0">
      <w:pPr>
        <w:autoSpaceDE w:val="0"/>
        <w:autoSpaceDN w:val="0"/>
        <w:adjustRightInd w:val="0"/>
        <w:spacing w:after="0" w:line="240" w:lineRule="auto"/>
        <w:rPr>
          <w:rFonts w:ascii="Arial" w:hAnsi="Arial" w:cs="Arial"/>
          <w:sz w:val="24"/>
          <w:szCs w:val="24"/>
        </w:rPr>
      </w:pPr>
    </w:p>
    <w:p w:rsidR="00622FD0" w:rsidRPr="00684C1C" w:rsidRDefault="00622FD0" w:rsidP="00622FD0">
      <w:pPr>
        <w:autoSpaceDE w:val="0"/>
        <w:autoSpaceDN w:val="0"/>
        <w:adjustRightInd w:val="0"/>
        <w:spacing w:before="260" w:after="0" w:line="240" w:lineRule="auto"/>
        <w:ind w:firstLine="540"/>
        <w:jc w:val="both"/>
        <w:rPr>
          <w:rFonts w:ascii="Times New Roman" w:hAnsi="Times New Roman" w:cs="Times New Roman"/>
          <w:b/>
          <w:i/>
          <w:sz w:val="24"/>
          <w:szCs w:val="24"/>
          <w:u w:val="single"/>
        </w:rPr>
      </w:pPr>
      <w:r w:rsidRPr="00684C1C">
        <w:rPr>
          <w:rFonts w:ascii="Times New Roman" w:hAnsi="Times New Roman" w:cs="Times New Roman"/>
          <w:b/>
          <w:i/>
          <w:sz w:val="24"/>
          <w:szCs w:val="24"/>
          <w:u w:val="single"/>
        </w:rPr>
        <w:lastRenderedPageBreak/>
        <w:t xml:space="preserve">5.3. По направлениям, указанным в </w:t>
      </w:r>
      <w:hyperlink w:anchor="Par1" w:history="1">
        <w:r w:rsidRPr="00684C1C">
          <w:rPr>
            <w:rFonts w:ascii="Times New Roman" w:hAnsi="Times New Roman" w:cs="Times New Roman"/>
            <w:b/>
            <w:i/>
            <w:color w:val="0000FF"/>
            <w:sz w:val="24"/>
            <w:szCs w:val="24"/>
            <w:u w:val="single"/>
          </w:rPr>
          <w:t>подпунктах "а"</w:t>
        </w:r>
      </w:hyperlink>
      <w:r w:rsidRPr="00684C1C">
        <w:rPr>
          <w:rFonts w:ascii="Times New Roman" w:hAnsi="Times New Roman" w:cs="Times New Roman"/>
          <w:b/>
          <w:i/>
          <w:sz w:val="24"/>
          <w:szCs w:val="24"/>
          <w:u w:val="single"/>
        </w:rPr>
        <w:t xml:space="preserve"> - </w:t>
      </w:r>
      <w:hyperlink w:anchor="Par10" w:history="1">
        <w:r w:rsidRPr="00684C1C">
          <w:rPr>
            <w:rFonts w:ascii="Times New Roman" w:hAnsi="Times New Roman" w:cs="Times New Roman"/>
            <w:b/>
            <w:i/>
            <w:color w:val="0000FF"/>
            <w:sz w:val="24"/>
            <w:szCs w:val="24"/>
            <w:u w:val="single"/>
          </w:rPr>
          <w:t>"к" пункта 5.1</w:t>
        </w:r>
      </w:hyperlink>
      <w:r w:rsidRPr="00684C1C">
        <w:rPr>
          <w:rFonts w:ascii="Times New Roman" w:hAnsi="Times New Roman" w:cs="Times New Roman"/>
          <w:b/>
          <w:i/>
          <w:sz w:val="24"/>
          <w:szCs w:val="24"/>
          <w:u w:val="single"/>
        </w:rPr>
        <w:t xml:space="preserve"> настоящего приложения, участниками отбора в дополнение к документам, указанным в </w:t>
      </w:r>
      <w:hyperlink r:id="rId6" w:history="1">
        <w:r w:rsidRPr="00684C1C">
          <w:rPr>
            <w:rFonts w:ascii="Times New Roman" w:hAnsi="Times New Roman" w:cs="Times New Roman"/>
            <w:b/>
            <w:i/>
            <w:color w:val="0000FF"/>
            <w:sz w:val="24"/>
            <w:szCs w:val="24"/>
            <w:u w:val="single"/>
          </w:rPr>
          <w:t>пункте 2.4</w:t>
        </w:r>
      </w:hyperlink>
      <w:r w:rsidRPr="00684C1C">
        <w:rPr>
          <w:rFonts w:ascii="Times New Roman" w:hAnsi="Times New Roman" w:cs="Times New Roman"/>
          <w:b/>
          <w:i/>
          <w:sz w:val="24"/>
          <w:szCs w:val="24"/>
          <w:u w:val="single"/>
        </w:rPr>
        <w:t xml:space="preserve"> настоящего Порядка, представляются следующие документы:</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предоставлении субсидий по форме, утвержденной приказом комитета;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справка-расчет для выплаты субсидий по форме, утвержденной приказом комитета;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пояснительная записка к инвестиционному проекту, включающая его краткое описание;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приказа, подтверждающего начало проведения работ по созданию и(или)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выполнения работ по созданию и(или)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разрешения на строительство или копия письма органа, уполномоченного на выдачу разрешений на строительство и ввод объектов в эксплуатацию в Ленинградской области, об отсутствии необходимости получения разрешения на строительство (при создании объекта) (в случае отсутствия необходимости получения разрешения на строительство в соответствии с законодательством), полученного в рамках обращения в указанный орган за предоставлением государственной (муниципальной) услуги по выдаче разрешений на строительство в соответствии с законодательством;</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соответствии объекта требованиям по форме, утвержденной приказом комитета, с приложением обосновывающих материалов и документов;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положительного заключения государственной экспертизы проектной документации объекта, выданного государственным автономным учреждением "Управление государственной экспертизы Ленинградской области" по месту расположения земельного участка, в случаях, установленных законодательством Российской Федерации, или копия письма об отсутствии необходимости проведения обязательной государственной экспертизы проектной документации, выданного государственным автономным учреждением "Управление государственной экспертизы Ленинградской области" (при создании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локальных смет с приложением:</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положительного заключения по результатам проверки достоверности определения сметной стоимости, выполненной государственным автономным учреждением "Управление государственной экспертизы Ленинградской области" (при создании объекта, работы по которому начаты не ранее 2022 года, при модернизации объекта, работы по которому начаты не ранее 2024 года и стоимость которых превышает 10 млн руб.);</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положительного заключения по результатам проверки достоверности определения сметной стоимости, выполненной государственным автономным учреждением "Управление государственной экспертизы Ленинградской области", или положительного заключения по результатам экспертизы сметной документации, выполненной любой специализированной организацией, аккредитованной в установленном порядке в соответствии с законодательством (в иных случаях);</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копии сводного сметного расчета стоимости объекта и(или) копия уточненного сводного сметного расчета стоимости объекта (в </w:t>
      </w:r>
      <w:r w:rsidR="003031A0">
        <w:rPr>
          <w:rFonts w:ascii="Arial" w:hAnsi="Arial" w:cs="Arial"/>
          <w:sz w:val="20"/>
          <w:szCs w:val="20"/>
        </w:rPr>
        <w:t>случае,</w:t>
      </w:r>
      <w:r>
        <w:rPr>
          <w:rFonts w:ascii="Arial" w:hAnsi="Arial" w:cs="Arial"/>
          <w:sz w:val="20"/>
          <w:szCs w:val="20"/>
        </w:rPr>
        <w:t xml:space="preserve"> когда фактический объем понесенных затрат по инвестиционному проекту отличается от сводного сметного расчета);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копия акта приемки законченного строительством объекта по </w:t>
      </w:r>
      <w:hyperlink r:id="rId7" w:history="1">
        <w:r>
          <w:rPr>
            <w:rFonts w:ascii="Arial" w:hAnsi="Arial" w:cs="Arial"/>
            <w:color w:val="0000FF"/>
            <w:sz w:val="20"/>
            <w:szCs w:val="20"/>
          </w:rPr>
          <w:t>форме КС-11</w:t>
        </w:r>
      </w:hyperlink>
      <w:r>
        <w:rPr>
          <w:rFonts w:ascii="Arial" w:hAnsi="Arial" w:cs="Arial"/>
          <w:sz w:val="20"/>
          <w:szCs w:val="20"/>
        </w:rPr>
        <w:t>, утвержденной постановлением Госкомстата России от 30 октября 1997 года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(при создании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разрешения на ввод объекта в эксплуатацию, выданная органом, уполномоченным на выдачу разрешений на строительство и ввод объектов в эксплуатацию в Ленинградской области (при создании объекта) (в случае получения разрешения на строительство);</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акта о приеме-передаче здания (сооружения), оборудования по форме в соответствии с принятой у участника отбора учетной политикой (при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копии первичных учетных документов, подтверждающих затраты на выполнение работ по созданию и(или) модернизации объекта, а также на приобретение, доставку, монтаж (включая пусконаладочные работы) оборудования и инженерных систем в соответствии с принятой у участника отбора учетной политикой (договора, универсального передаточного документа или товарной накладной и счета-фактуры (при наличии НДС) (для отечественных контрагентов), инвойса (для иностранных контрагентов); платежного поручения и(или) иного банковского документа, подтверждающего факт оплаты, в случае приобретения у иностранных поставщиков);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документа, подтверждающего дату изготовления техники и(или) оборудования (в случае приобретения техники и(или) оборудования) (при наличии);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по объему комплектации поголовьем скота и птицы (для объектов, предусматривающих содержание скота и птицы);</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презентация по созданию и(или) модернизации объекта с фотографиями объекта (не менее семи слайдов) в формате PPTX на электронном носителе;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bookmarkStart w:id="3" w:name="Par34"/>
      <w:bookmarkEnd w:id="3"/>
      <w:r>
        <w:rPr>
          <w:rFonts w:ascii="Arial" w:hAnsi="Arial" w:cs="Arial"/>
          <w:sz w:val="20"/>
          <w:szCs w:val="20"/>
        </w:rPr>
        <w:t>информация о земельных участках и объектах (в отношении земельных участков и объектов, используемых в рамках направления предоставления субсидии).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Комитет в рамках межведомственного информационного взаимодействия запрашивает в отношении участника отбора выписку из Единого государственного реестра недвижимости в отношении земельных участков и объектов, информация о которых представлена участником отбора согласно </w:t>
      </w:r>
      <w:hyperlink w:anchor="Par34" w:history="1">
        <w:r>
          <w:rPr>
            <w:rFonts w:ascii="Arial" w:hAnsi="Arial" w:cs="Arial"/>
            <w:color w:val="0000FF"/>
            <w:sz w:val="20"/>
            <w:szCs w:val="20"/>
          </w:rPr>
          <w:t>абзацу двадцать первому</w:t>
        </w:r>
      </w:hyperlink>
      <w:r>
        <w:rPr>
          <w:rFonts w:ascii="Arial" w:hAnsi="Arial" w:cs="Arial"/>
          <w:sz w:val="20"/>
          <w:szCs w:val="20"/>
        </w:rPr>
        <w:t xml:space="preserve"> настоящего пункта. Участник отбора вправе представить документы, содержащие информацию, указанную в настоящем абзаце, по собственной инициативе.</w:t>
      </w:r>
    </w:p>
    <w:p w:rsidR="00622FD0" w:rsidRDefault="00622FD0" w:rsidP="00622FD0">
      <w:pPr>
        <w:autoSpaceDE w:val="0"/>
        <w:autoSpaceDN w:val="0"/>
        <w:adjustRightInd w:val="0"/>
        <w:spacing w:after="0" w:line="240" w:lineRule="auto"/>
        <w:rPr>
          <w:rFonts w:ascii="Arial" w:hAnsi="Arial" w:cs="Arial"/>
          <w:sz w:val="24"/>
          <w:szCs w:val="24"/>
        </w:rPr>
      </w:pPr>
    </w:p>
    <w:p w:rsidR="00622FD0" w:rsidRPr="00684C1C" w:rsidRDefault="00622FD0" w:rsidP="00622FD0">
      <w:pPr>
        <w:autoSpaceDE w:val="0"/>
        <w:autoSpaceDN w:val="0"/>
        <w:adjustRightInd w:val="0"/>
        <w:spacing w:before="260" w:after="0" w:line="240" w:lineRule="auto"/>
        <w:ind w:firstLine="540"/>
        <w:jc w:val="both"/>
        <w:rPr>
          <w:rFonts w:ascii="Times New Roman" w:hAnsi="Times New Roman" w:cs="Times New Roman"/>
          <w:b/>
          <w:i/>
          <w:sz w:val="24"/>
          <w:szCs w:val="24"/>
          <w:u w:val="single"/>
        </w:rPr>
      </w:pPr>
      <w:r w:rsidRPr="00684C1C">
        <w:rPr>
          <w:rFonts w:ascii="Times New Roman" w:hAnsi="Times New Roman" w:cs="Times New Roman"/>
          <w:b/>
          <w:i/>
          <w:sz w:val="24"/>
          <w:szCs w:val="24"/>
          <w:u w:val="single"/>
        </w:rPr>
        <w:t xml:space="preserve">5.4. По направлению, указанному в </w:t>
      </w:r>
      <w:hyperlink w:anchor="Par11" w:history="1">
        <w:r w:rsidRPr="00684C1C">
          <w:rPr>
            <w:rFonts w:ascii="Times New Roman" w:hAnsi="Times New Roman" w:cs="Times New Roman"/>
            <w:b/>
            <w:i/>
            <w:color w:val="0000FF"/>
            <w:sz w:val="24"/>
            <w:szCs w:val="24"/>
            <w:u w:val="single"/>
          </w:rPr>
          <w:t>подпункте "л" пункта 5.1</w:t>
        </w:r>
      </w:hyperlink>
      <w:r w:rsidRPr="00684C1C">
        <w:rPr>
          <w:rFonts w:ascii="Times New Roman" w:hAnsi="Times New Roman" w:cs="Times New Roman"/>
          <w:b/>
          <w:i/>
          <w:sz w:val="24"/>
          <w:szCs w:val="24"/>
          <w:u w:val="single"/>
        </w:rPr>
        <w:t xml:space="preserve"> настоящего приложения, участниками отбора в дополнение к документам, указанным в </w:t>
      </w:r>
      <w:hyperlink r:id="rId8" w:history="1">
        <w:r w:rsidRPr="00684C1C">
          <w:rPr>
            <w:rFonts w:ascii="Times New Roman" w:hAnsi="Times New Roman" w:cs="Times New Roman"/>
            <w:b/>
            <w:i/>
            <w:color w:val="0000FF"/>
            <w:sz w:val="24"/>
            <w:szCs w:val="24"/>
            <w:u w:val="single"/>
          </w:rPr>
          <w:t>пункте 2.4</w:t>
        </w:r>
      </w:hyperlink>
      <w:r w:rsidRPr="00684C1C">
        <w:rPr>
          <w:rFonts w:ascii="Times New Roman" w:hAnsi="Times New Roman" w:cs="Times New Roman"/>
          <w:b/>
          <w:i/>
          <w:sz w:val="24"/>
          <w:szCs w:val="24"/>
          <w:u w:val="single"/>
        </w:rPr>
        <w:t xml:space="preserve"> настоящего Порядка, представляются следующие документы:</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предоставлении субсидий по форме, утвержденной приказом комитета;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справка-расчет для выплаты субсидий по форме, утвержденной приказом комитета;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пояснительная записка к инвестиционному проекту, включающая его краткое описание;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соответствии объекта требованиям по форме, утвержденной приказом комитета, с приложением обосновывающих материалов и документов;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приказа, подтверждающего начало проведения работ по созданию и(или)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выполнения работ по созданию и(или)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акта о приеме-передаче сооружения по форме в соответствии с принятой у участника отбора учетной политикой;</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первичных учетных документов, подтверждающих затраты на выполнение работ по созданию и(или) модернизации объекта, а также на приобретение, доставку, монтаж (включая пусконаладочные работы) оборудования и инженерных систем в соответствии с принятой у участника отбора учетной политикой (договора, универсального передаточного документа или товарной накладной и счета-фактуры (при наличии НДС) (для отечественных контрагентов), инвойса (для иностранных контрагентов); платежного поручения и(или) иного банковского документа, подтверждающего факт оплаты, в случае приобретения у иностранных поставщиков);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bookmarkStart w:id="4" w:name="Par46"/>
      <w:bookmarkEnd w:id="4"/>
      <w:r>
        <w:rPr>
          <w:rFonts w:ascii="Arial" w:hAnsi="Arial" w:cs="Arial"/>
          <w:sz w:val="20"/>
          <w:szCs w:val="20"/>
        </w:rPr>
        <w:t>информация о водном участке (в отношении водных участков, используемых в рамках направления предоставления субсидии);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документа, подтверждающего дату изготовления оборудования (в случае приобретения оборудования);</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презентация по созданию и(или) модернизации объекта с фотографиями объекта (не менее семи слайдов) в формате PPTX на электронном носителе;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сертификата соответствия на понтон (садок) рыбоводный для выращивания рыбы (в случае создания объекта) (при наличии);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документа, подтверждающего заполнение объекта рыбой (рыбопосадочным материалом) для осуществления товарного рыбоводства.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Комитет в рамках межведомственного информационного взаимодействия запрашивает в отношении участника отбора выписку из Перечня водных объектов на территории Ленинградской области, подлежащих региональному государственному контролю и надзору за использованием и охраной водных объектов, информация о которых представлена участником отбора согласно </w:t>
      </w:r>
      <w:hyperlink w:anchor="Par46" w:history="1">
        <w:r>
          <w:rPr>
            <w:rFonts w:ascii="Arial" w:hAnsi="Arial" w:cs="Arial"/>
            <w:color w:val="0000FF"/>
            <w:sz w:val="20"/>
            <w:szCs w:val="20"/>
          </w:rPr>
          <w:t>абзацу десятому</w:t>
        </w:r>
      </w:hyperlink>
      <w:r>
        <w:rPr>
          <w:rFonts w:ascii="Arial" w:hAnsi="Arial" w:cs="Arial"/>
          <w:sz w:val="20"/>
          <w:szCs w:val="20"/>
        </w:rPr>
        <w:t xml:space="preserve"> настоящего пункта. Участник отбора вправе представить документы, содержащие информацию, указанную в настоящем абзаце, по собственной инициативе.</w:t>
      </w:r>
    </w:p>
    <w:p w:rsidR="00622FD0" w:rsidRPr="00684C1C" w:rsidRDefault="00622FD0" w:rsidP="00622FD0">
      <w:pPr>
        <w:autoSpaceDE w:val="0"/>
        <w:autoSpaceDN w:val="0"/>
        <w:adjustRightInd w:val="0"/>
        <w:spacing w:before="200" w:after="0" w:line="240" w:lineRule="auto"/>
        <w:ind w:firstLine="540"/>
        <w:jc w:val="both"/>
        <w:rPr>
          <w:rFonts w:ascii="Times New Roman" w:hAnsi="Times New Roman" w:cs="Times New Roman"/>
          <w:b/>
        </w:rPr>
      </w:pPr>
      <w:r w:rsidRPr="00684C1C">
        <w:rPr>
          <w:rFonts w:ascii="Times New Roman" w:hAnsi="Times New Roman" w:cs="Times New Roman"/>
          <w:b/>
        </w:rPr>
        <w:t xml:space="preserve">6. По направлению, указанному в </w:t>
      </w:r>
      <w:hyperlink r:id="rId9" w:history="1">
        <w:r w:rsidRPr="00684C1C">
          <w:rPr>
            <w:rFonts w:ascii="Times New Roman" w:hAnsi="Times New Roman" w:cs="Times New Roman"/>
            <w:b/>
            <w:color w:val="0000FF"/>
          </w:rPr>
          <w:t>подпункте "б" пункта 2.2</w:t>
        </w:r>
      </w:hyperlink>
      <w:r w:rsidRPr="00684C1C">
        <w:rPr>
          <w:rFonts w:ascii="Times New Roman" w:hAnsi="Times New Roman" w:cs="Times New Roman"/>
          <w:b/>
        </w:rPr>
        <w:t xml:space="preserve"> настоящего приложения, субсидии предоставляются победителям конкурсного отбора инвестиционных проектов создания и(или) модернизации объектов по переработке, реализуемых на территории Ленинградской области, осуществляемого комитетом, категориям получателей субсидии, указанным в </w:t>
      </w:r>
      <w:hyperlink r:id="rId10" w:history="1">
        <w:r w:rsidRPr="00684C1C">
          <w:rPr>
            <w:rFonts w:ascii="Times New Roman" w:hAnsi="Times New Roman" w:cs="Times New Roman"/>
            <w:b/>
            <w:color w:val="0000FF"/>
          </w:rPr>
          <w:t>подпунктах "а"</w:t>
        </w:r>
      </w:hyperlink>
      <w:r w:rsidRPr="00684C1C">
        <w:rPr>
          <w:rFonts w:ascii="Times New Roman" w:hAnsi="Times New Roman" w:cs="Times New Roman"/>
          <w:b/>
        </w:rPr>
        <w:t xml:space="preserve">, </w:t>
      </w:r>
      <w:hyperlink r:id="rId11" w:history="1">
        <w:r w:rsidRPr="00684C1C">
          <w:rPr>
            <w:rFonts w:ascii="Times New Roman" w:hAnsi="Times New Roman" w:cs="Times New Roman"/>
            <w:b/>
            <w:color w:val="0000FF"/>
          </w:rPr>
          <w:t>"б"</w:t>
        </w:r>
      </w:hyperlink>
      <w:r w:rsidRPr="00684C1C">
        <w:rPr>
          <w:rFonts w:ascii="Times New Roman" w:hAnsi="Times New Roman" w:cs="Times New Roman"/>
          <w:b/>
        </w:rPr>
        <w:t xml:space="preserve"> и </w:t>
      </w:r>
      <w:hyperlink r:id="rId12" w:history="1">
        <w:r w:rsidRPr="00684C1C">
          <w:rPr>
            <w:rFonts w:ascii="Times New Roman" w:hAnsi="Times New Roman" w:cs="Times New Roman"/>
            <w:b/>
            <w:color w:val="0000FF"/>
          </w:rPr>
          <w:t>"г" пункта 1.6</w:t>
        </w:r>
      </w:hyperlink>
      <w:r w:rsidRPr="00684C1C">
        <w:rPr>
          <w:rFonts w:ascii="Times New Roman" w:hAnsi="Times New Roman" w:cs="Times New Roman"/>
          <w:b/>
        </w:rPr>
        <w:t xml:space="preserve"> настоящего Порядка.</w:t>
      </w:r>
    </w:p>
    <w:p w:rsidR="00622FD0" w:rsidRPr="00684C1C" w:rsidRDefault="00622FD0" w:rsidP="00622FD0">
      <w:pPr>
        <w:autoSpaceDE w:val="0"/>
        <w:autoSpaceDN w:val="0"/>
        <w:adjustRightInd w:val="0"/>
        <w:spacing w:before="200" w:after="0" w:line="240" w:lineRule="auto"/>
        <w:ind w:firstLine="540"/>
        <w:jc w:val="both"/>
        <w:rPr>
          <w:rFonts w:ascii="Arial" w:hAnsi="Arial" w:cs="Arial"/>
          <w:b/>
          <w:sz w:val="28"/>
          <w:szCs w:val="28"/>
        </w:rPr>
      </w:pPr>
      <w:r w:rsidRPr="00684C1C">
        <w:rPr>
          <w:rFonts w:ascii="Arial" w:hAnsi="Arial" w:cs="Arial"/>
          <w:b/>
          <w:sz w:val="28"/>
          <w:szCs w:val="28"/>
          <w:highlight w:val="yellow"/>
        </w:rPr>
        <w:t>6.1. Субсидии предоставляются на создание и(или) модернизацию следующих объектов по переработке: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объекты по переработке молока и(или) производству молочной продукции, в том числе сыра, - комплекс зданий, строений и сооружений, предназначенных для переработки молока, производства и хранения молочной продукции, оснащенных соответствующими производственными помещениями, зданиями вспомогательного назначения, хозяйственно-бытовыми постройками, необходимым технологическим оборудованием и включающих (при необходимости) теплоэнергетические центры, инженерные коммуникации,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объекты для убоя и первичной переработки скота, в том числе переработки и хранения, предназначенные для мясоперерабатывающих предприятий (боен) - комплекс зданий, строений и сооружений, предназначенных для убоя и первичной переработки мяса скота, производства и хранения мясной продукции, оснащенных соответствующими производственными помещениями, зданиями вспомогательного назначения, хозяйственно-бытовыми постройками, необходимым технологическим оборудованием и включающих (при необходимости) теплоэнергетические центры, инженерные коммуникации,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объекты по переработке масличных культур - комплекс зданий, строений или сооружений, предназначенный для обеспечения переработки масличных культур, оснащенных соответствующим технологическим оборудованием и включающих при необходимости теплоэнергетические центры,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Размер субсидии рассчитывается исходя из дифференцированных ставок фактической стоимости объекта (но не выше предельной стоимости объекта), установленных распоряжением комитета.</w:t>
      </w:r>
    </w:p>
    <w:p w:rsidR="00622FD0" w:rsidRDefault="00622FD0" w:rsidP="00622FD0">
      <w:pPr>
        <w:autoSpaceDE w:val="0"/>
        <w:autoSpaceDN w:val="0"/>
        <w:adjustRightInd w:val="0"/>
        <w:spacing w:after="0" w:line="240" w:lineRule="auto"/>
        <w:rPr>
          <w:rFonts w:ascii="Arial" w:hAnsi="Arial" w:cs="Arial"/>
          <w:sz w:val="24"/>
          <w:szCs w:val="24"/>
        </w:rPr>
      </w:pPr>
    </w:p>
    <w:p w:rsidR="00622FD0" w:rsidRPr="00684C1C" w:rsidRDefault="00622FD0" w:rsidP="00622FD0">
      <w:pPr>
        <w:autoSpaceDE w:val="0"/>
        <w:autoSpaceDN w:val="0"/>
        <w:adjustRightInd w:val="0"/>
        <w:spacing w:before="260" w:after="0" w:line="240" w:lineRule="auto"/>
        <w:ind w:firstLine="540"/>
        <w:jc w:val="both"/>
        <w:rPr>
          <w:rFonts w:ascii="Times New Roman" w:hAnsi="Times New Roman" w:cs="Times New Roman"/>
          <w:b/>
          <w:i/>
          <w:sz w:val="24"/>
          <w:szCs w:val="24"/>
          <w:u w:val="single"/>
        </w:rPr>
      </w:pPr>
      <w:bookmarkStart w:id="5" w:name="Par74"/>
      <w:bookmarkEnd w:id="5"/>
      <w:r w:rsidRPr="00684C1C">
        <w:rPr>
          <w:rFonts w:ascii="Times New Roman" w:hAnsi="Times New Roman" w:cs="Times New Roman"/>
          <w:b/>
          <w:i/>
          <w:sz w:val="24"/>
          <w:szCs w:val="24"/>
          <w:u w:val="single"/>
        </w:rPr>
        <w:lastRenderedPageBreak/>
        <w:t xml:space="preserve">6.3. Участниками отбора в дополнение к документам, указанным в </w:t>
      </w:r>
      <w:hyperlink r:id="rId13" w:history="1">
        <w:r w:rsidRPr="00684C1C">
          <w:rPr>
            <w:rFonts w:ascii="Times New Roman" w:hAnsi="Times New Roman" w:cs="Times New Roman"/>
            <w:b/>
            <w:i/>
            <w:color w:val="0000FF"/>
            <w:sz w:val="24"/>
            <w:szCs w:val="24"/>
            <w:u w:val="single"/>
          </w:rPr>
          <w:t>пункте 2.4</w:t>
        </w:r>
      </w:hyperlink>
      <w:r w:rsidRPr="00684C1C">
        <w:rPr>
          <w:rFonts w:ascii="Times New Roman" w:hAnsi="Times New Roman" w:cs="Times New Roman"/>
          <w:b/>
          <w:i/>
          <w:sz w:val="24"/>
          <w:szCs w:val="24"/>
          <w:u w:val="single"/>
        </w:rPr>
        <w:t xml:space="preserve"> настоящего Порядка, представляются следующие документы:</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предоставлении субсидий по форме, утвержденной приказом комитета;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справка-расчет для выплаты субсидий по форме, утвержденной приказом комитета;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пояснительная записка к инвестиционному проекту, включающая его краткое описание;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приказа, подтверждающего начало проведения работ по созданию и(или)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выполнения работ по созданию и(или)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разрешения на строительство или копия письма органа, уполномоченного на выдачу разрешений на строительство и ввод объектов в эксплуатацию в Ленинградской области, об отсутствии необходимости получения разрешения на строительство (при создании объекта) (в случае отсутствия необходимости получения разрешения на строительство в соответствии с законодательством), полученного в рамках обращения в указанный орган за предоставлением государственной (муниципальной) услуги по выдаче разрешений на строительство в соответствии с законодательством;</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соответствии объекта требованиям по форме, утвержденной приказом комитета, с приложением обосновывающих материалов и документов;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положительного заключения государственной экспертизы проектной документации объекта, выданного государственным автономным учреждением "Управление государственной экспертизы Ленинградской области" по месту расположения земельного участка, в случаях, установленных законодательством Российской Федерации, или копия письма об отсутствии необходимости проведения обязательной государственной экспертизы проектной документации, выданного государственным автономным учреждением "Управление государственной экспертизы Ленинградской области" (при создании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локальных смет с приложением:</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положительного заключения по результатам проверки достоверности определения сметной стоимости, выполненной государственным автономным учреждением "Управление государственной экспертизы Ленинградской области" (при создании объекта, работы по которому начаты не ранее 2022 года, при модернизации объекта, работы по которому начаты не ранее 2024 года и стоимость которых превышает 10 млн руб.);</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положительного заключения по результатам проверки достоверности определения сметной стоимости, выполненной государственным автономным учреждением "Управление государственной экспертизы Ленинградской области", или положительного заключения по результатам экспертизы сметной документации, выполненной любой специализированной организацией, аккредитованной в установленном порядке в соответствии с законодательством (в иных случаях);</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сводного сметного расчета стоимости объекта и(или) копия уточненного сводного сметного расчета стоимости объекта (в случае когда фактический объем понесенных затрат по инвестиционному проекту отличается от сводного сметного расчета);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копия акта приемки законченного строительством объекта по </w:t>
      </w:r>
      <w:hyperlink r:id="rId14" w:history="1">
        <w:r>
          <w:rPr>
            <w:rFonts w:ascii="Arial" w:hAnsi="Arial" w:cs="Arial"/>
            <w:color w:val="0000FF"/>
            <w:sz w:val="20"/>
            <w:szCs w:val="20"/>
          </w:rPr>
          <w:t>форме КС-11</w:t>
        </w:r>
      </w:hyperlink>
      <w:r>
        <w:rPr>
          <w:rFonts w:ascii="Arial" w:hAnsi="Arial" w:cs="Arial"/>
          <w:sz w:val="20"/>
          <w:szCs w:val="20"/>
        </w:rPr>
        <w:t>, утвержденной постановлением Госкомстата России от 30 октября 1997 года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(при создании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разрешения на ввод объекта в эксплуатацию, выданного уполномоченной организацией (при создании объекта) (в случае получения разрешения на строительство);</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акта о приеме-передаче здания (сооружения), оборудования по форме в соответствии с принятой у участника отбора учетной политикой (при модернизации объекта);</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копии первичных учетных документов, подтверждающих затраты на выполнение работ по созданию и(или) модернизации объекта, а также на приобретение, доставку, монтаж (включая пусконаладочные работы) оборудования и инженерных систем в соответствии с принятой у участника отбора учетной политикой (договора, универсального передаточного документа или товарной накладной и счета-фактуры (при наличии НДС) (для отечественных контрагентов), инвойса (для иностранных контрагентов); платежного поручения и(или) иного банковского документа, подтверждающего факт оплаты, в случае приобретения у иностранных поставщиков);</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сертификата соответствия на оборудование для производства мяса (в случае приобретения такого оборудования);</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об объеме продукции, произведенной на объекте;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документа, подтверждающего дату изготовления техники и(или) оборудования (в случае приобретения техники и(или) оборудования);</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презентация по созданию и(или) модернизации объекта с фотографиями объекта (не менее семи слайдов) в формате PPTX на электронном носителе;</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bookmarkStart w:id="6" w:name="Par95"/>
      <w:bookmarkEnd w:id="6"/>
      <w:r>
        <w:rPr>
          <w:rFonts w:ascii="Arial" w:hAnsi="Arial" w:cs="Arial"/>
          <w:sz w:val="20"/>
          <w:szCs w:val="20"/>
        </w:rPr>
        <w:t>информация о земельных участках и объектах (в отношении земельных участков и объектов, используемых в рамках направления предоставления субсидии).</w:t>
      </w:r>
    </w:p>
    <w:p w:rsidR="00622FD0" w:rsidRDefault="00622FD0" w:rsidP="00622FD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Комитет в рамках межведомственного информационного взаимодействия запрашивает в отношении участника отбора выписку из Единого государственного реестра недвижимости в отношении земельных участков и объектов, информация о которых представлена участником отбора согласно </w:t>
      </w:r>
      <w:hyperlink w:anchor="Par95" w:history="1">
        <w:r>
          <w:rPr>
            <w:rFonts w:ascii="Arial" w:hAnsi="Arial" w:cs="Arial"/>
            <w:color w:val="0000FF"/>
            <w:sz w:val="20"/>
            <w:szCs w:val="20"/>
          </w:rPr>
          <w:t>абзацу двадцать второму</w:t>
        </w:r>
      </w:hyperlink>
      <w:r>
        <w:rPr>
          <w:rFonts w:ascii="Arial" w:hAnsi="Arial" w:cs="Arial"/>
          <w:sz w:val="20"/>
          <w:szCs w:val="20"/>
        </w:rPr>
        <w:t xml:space="preserve"> настоящего пункта. Участник отбора вправе представить документы, содержащие информацию, указанную в настоящем абзаце, по собственной инициативе.</w:t>
      </w:r>
    </w:p>
    <w:p w:rsidR="00FB6A09" w:rsidRDefault="00FB6A09"/>
    <w:p w:rsidR="00824050" w:rsidRDefault="00824050"/>
    <w:p w:rsidR="00824050" w:rsidRDefault="00824050">
      <w:bookmarkStart w:id="7" w:name="_GoBack"/>
      <w:bookmarkEnd w:id="7"/>
    </w:p>
    <w:sectPr w:rsidR="00824050" w:rsidSect="00A45899">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D7A" w:rsidRDefault="00A35D7A" w:rsidP="00622FD0">
      <w:pPr>
        <w:spacing w:after="0" w:line="240" w:lineRule="auto"/>
      </w:pPr>
      <w:r>
        <w:separator/>
      </w:r>
    </w:p>
  </w:endnote>
  <w:endnote w:type="continuationSeparator" w:id="0">
    <w:p w:rsidR="00A35D7A" w:rsidRDefault="00A35D7A" w:rsidP="00622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D7A" w:rsidRDefault="00A35D7A" w:rsidP="00622FD0">
      <w:pPr>
        <w:spacing w:after="0" w:line="240" w:lineRule="auto"/>
      </w:pPr>
      <w:r>
        <w:separator/>
      </w:r>
    </w:p>
  </w:footnote>
  <w:footnote w:type="continuationSeparator" w:id="0">
    <w:p w:rsidR="00A35D7A" w:rsidRDefault="00A35D7A" w:rsidP="00622F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E8"/>
    <w:rsid w:val="0000090B"/>
    <w:rsid w:val="003031A0"/>
    <w:rsid w:val="003C6FE8"/>
    <w:rsid w:val="00622FD0"/>
    <w:rsid w:val="00684C1C"/>
    <w:rsid w:val="00824050"/>
    <w:rsid w:val="00A35D7A"/>
    <w:rsid w:val="00A8235F"/>
    <w:rsid w:val="00CE0D88"/>
    <w:rsid w:val="00ED14F1"/>
    <w:rsid w:val="00FB6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54D688-40B1-4C41-9575-01464C89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F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FD0"/>
  </w:style>
  <w:style w:type="paragraph" w:styleId="a5">
    <w:name w:val="footer"/>
    <w:basedOn w:val="a"/>
    <w:link w:val="a6"/>
    <w:uiPriority w:val="99"/>
    <w:unhideWhenUsed/>
    <w:rsid w:val="00622F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22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98077&amp;dst=109538" TargetMode="External"/><Relationship Id="rId13" Type="http://schemas.openxmlformats.org/officeDocument/2006/relationships/hyperlink" Target="https://login.consultant.ru/link/?req=doc&amp;base=SPB&amp;n=298077&amp;dst=109538"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1168&amp;dst=103308" TargetMode="External"/><Relationship Id="rId12" Type="http://schemas.openxmlformats.org/officeDocument/2006/relationships/hyperlink" Target="https://login.consultant.ru/link/?req=doc&amp;base=SPB&amp;n=298077&amp;dst=10945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SPB&amp;n=298077&amp;dst=109538" TargetMode="External"/><Relationship Id="rId11" Type="http://schemas.openxmlformats.org/officeDocument/2006/relationships/hyperlink" Target="https://login.consultant.ru/link/?req=doc&amp;base=SPB&amp;n=298077&amp;dst=109453"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ogin.consultant.ru/link/?req=doc&amp;base=SPB&amp;n=298077&amp;dst=109452" TargetMode="External"/><Relationship Id="rId4" Type="http://schemas.openxmlformats.org/officeDocument/2006/relationships/footnotes" Target="footnotes.xml"/><Relationship Id="rId9" Type="http://schemas.openxmlformats.org/officeDocument/2006/relationships/hyperlink" Target="https://login.consultant.ru/link/?req=doc&amp;base=SPB&amp;n=298077&amp;dst=114592" TargetMode="External"/><Relationship Id="rId14" Type="http://schemas.openxmlformats.org/officeDocument/2006/relationships/hyperlink" Target="https://login.consultant.ru/link/?req=doc&amp;base=LAW&amp;n=41168&amp;dst=1033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3779</Words>
  <Characters>21545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Страт Дина Георгиевна</dc:creator>
  <cp:keywords/>
  <dc:description/>
  <cp:lastModifiedBy>Страт Дина Георгиевна</cp:lastModifiedBy>
  <cp:revision>18</cp:revision>
  <dcterms:created xsi:type="dcterms:W3CDTF">2024-10-01T10:36:00Z</dcterms:created>
  <dcterms:modified xsi:type="dcterms:W3CDTF">2024-10-01T12:53:00Z</dcterms:modified>
</cp:coreProperties>
</file>