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92" w:rsidRDefault="006F1192">
      <w:pPr>
        <w:pStyle w:val="ConsPlusNormal"/>
        <w:jc w:val="right"/>
        <w:outlineLvl w:val="0"/>
      </w:pPr>
      <w:r>
        <w:fldChar w:fldCharType="begin"/>
      </w:r>
      <w:r>
        <w:instrText xml:space="preserve"> HYPERLINK "https://login.consultant.ru/link/?req=doc&amp;base=SPB&amp;n=294447&amp;dst=100174" \h </w:instrText>
      </w:r>
      <w:r>
        <w:fldChar w:fldCharType="separate"/>
      </w:r>
      <w:r>
        <w:rPr>
          <w:color w:val="0000FF"/>
        </w:rPr>
        <w:t>Приложение 43</w:t>
      </w:r>
      <w:r>
        <w:rPr>
          <w:color w:val="0000FF"/>
        </w:rPr>
        <w:fldChar w:fldCharType="end"/>
      </w:r>
    </w:p>
    <w:p w:rsidR="006F1192" w:rsidRDefault="006F1192">
      <w:pPr>
        <w:pStyle w:val="ConsPlusNormal"/>
        <w:jc w:val="right"/>
      </w:pPr>
      <w:r>
        <w:t>к Порядку...</w:t>
      </w:r>
    </w:p>
    <w:p w:rsidR="006F1192" w:rsidRDefault="006F1192">
      <w:pPr>
        <w:pStyle w:val="ConsPlusNormal"/>
        <w:jc w:val="both"/>
      </w:pPr>
    </w:p>
    <w:p w:rsidR="006F1192" w:rsidRDefault="006F1192">
      <w:pPr>
        <w:pStyle w:val="ConsPlusTitle"/>
        <w:jc w:val="center"/>
      </w:pPr>
      <w:r>
        <w:t>ГРАНТЫ</w:t>
      </w:r>
    </w:p>
    <w:p w:rsidR="006F1192" w:rsidRDefault="006F1192">
      <w:pPr>
        <w:pStyle w:val="ConsPlusTitle"/>
        <w:jc w:val="center"/>
      </w:pPr>
      <w:r>
        <w:t>В ФОРМЕ СУБСИДИЙ УЧАСТНИКАМ МЕРОПРИЯТИЯ</w:t>
      </w:r>
    </w:p>
    <w:p w:rsidR="006F1192" w:rsidRDefault="006F1192">
      <w:pPr>
        <w:pStyle w:val="ConsPlusTitle"/>
        <w:jc w:val="center"/>
      </w:pPr>
      <w:r>
        <w:t>"ЛЕНИНГРАДСКИЙ ГЕКТАР"</w:t>
      </w:r>
    </w:p>
    <w:p w:rsidR="006F1192" w:rsidRDefault="006F11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11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1192" w:rsidRDefault="006F11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1192" w:rsidRDefault="006F11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1192" w:rsidRDefault="006F1192">
            <w:pPr>
              <w:pStyle w:val="ConsPlusNormal"/>
              <w:jc w:val="center"/>
            </w:pPr>
            <w:r>
              <w:rPr>
                <w:color w:val="392C69"/>
              </w:rPr>
              <w:t>Список изменяющих документов</w:t>
            </w:r>
          </w:p>
          <w:p w:rsidR="006F1192" w:rsidRDefault="006F1192">
            <w:pPr>
              <w:pStyle w:val="ConsPlusNormal"/>
              <w:jc w:val="center"/>
            </w:pPr>
            <w:proofErr w:type="gramStart"/>
            <w:r>
              <w:rPr>
                <w:color w:val="392C69"/>
              </w:rPr>
              <w:t>(в ред. Постановлений Правительства Ленинградской области</w:t>
            </w:r>
            <w:proofErr w:type="gramEnd"/>
          </w:p>
          <w:p w:rsidR="006F1192" w:rsidRDefault="006F1192">
            <w:pPr>
              <w:pStyle w:val="ConsPlusNormal"/>
              <w:jc w:val="center"/>
            </w:pPr>
            <w:r>
              <w:rPr>
                <w:color w:val="392C69"/>
              </w:rPr>
              <w:t xml:space="preserve">от 27.02.2023 </w:t>
            </w:r>
            <w:hyperlink r:id="rId5">
              <w:r>
                <w:rPr>
                  <w:color w:val="0000FF"/>
                </w:rPr>
                <w:t>N 120</w:t>
              </w:r>
            </w:hyperlink>
            <w:r>
              <w:rPr>
                <w:color w:val="392C69"/>
              </w:rPr>
              <w:t xml:space="preserve">, от 20.10.2023 </w:t>
            </w:r>
            <w:hyperlink r:id="rId6">
              <w:r>
                <w:rPr>
                  <w:color w:val="0000FF"/>
                </w:rPr>
                <w:t>N 728</w:t>
              </w:r>
            </w:hyperlink>
            <w:r>
              <w:rPr>
                <w:color w:val="392C69"/>
              </w:rPr>
              <w:t xml:space="preserve">, от 28.02.2024 </w:t>
            </w:r>
            <w:hyperlink r:id="rId7">
              <w:r>
                <w:rPr>
                  <w:color w:val="0000FF"/>
                </w:rPr>
                <w:t>N 136</w:t>
              </w:r>
            </w:hyperlink>
            <w:r>
              <w:rPr>
                <w:color w:val="392C69"/>
              </w:rPr>
              <w:t>,</w:t>
            </w:r>
          </w:p>
          <w:p w:rsidR="006F1192" w:rsidRDefault="006F1192">
            <w:pPr>
              <w:pStyle w:val="ConsPlusNormal"/>
              <w:jc w:val="center"/>
            </w:pPr>
            <w:r>
              <w:rPr>
                <w:color w:val="392C69"/>
              </w:rPr>
              <w:t xml:space="preserve">от 28.06.2024 </w:t>
            </w:r>
            <w:hyperlink r:id="rId8">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1192" w:rsidRDefault="006F1192">
            <w:pPr>
              <w:pStyle w:val="ConsPlusNormal"/>
            </w:pPr>
          </w:p>
        </w:tc>
      </w:tr>
    </w:tbl>
    <w:p w:rsidR="006F1192" w:rsidRDefault="006F1192">
      <w:pPr>
        <w:pStyle w:val="ConsPlusNormal"/>
        <w:jc w:val="both"/>
      </w:pPr>
    </w:p>
    <w:p w:rsidR="006F1192" w:rsidRDefault="006F1192">
      <w:pPr>
        <w:pStyle w:val="ConsPlusNormal"/>
        <w:ind w:firstLine="540"/>
        <w:jc w:val="both"/>
      </w:pPr>
      <w:r>
        <w:t xml:space="preserve">1. </w:t>
      </w:r>
      <w:proofErr w:type="gramStart"/>
      <w:r>
        <w:t xml:space="preserve">Гранты в форме субсидий предоставляются комитетом за счет средств областного бюджета Ленинградской области категориям получателей гранта, указанным в </w:t>
      </w:r>
      <w:hyperlink r:id="rId9">
        <w:r>
          <w:rPr>
            <w:color w:val="0000FF"/>
          </w:rPr>
          <w:t>подпунктах "а"</w:t>
        </w:r>
      </w:hyperlink>
      <w:r>
        <w:t xml:space="preserve"> и </w:t>
      </w:r>
      <w:hyperlink r:id="rId10">
        <w:r>
          <w:rPr>
            <w:color w:val="0000FF"/>
          </w:rPr>
          <w:t>"б" пункта 1.6</w:t>
        </w:r>
      </w:hyperlink>
      <w:r>
        <w:t xml:space="preserve"> настоящего Порядка, признанным победителями отбора в соответствии с </w:t>
      </w:r>
      <w:hyperlink r:id="rId11">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29 декабря 2012 года N 463 "О государственной программе Ленинградской области "Развитие сельского хозяйства Ленинградской области</w:t>
      </w:r>
      <w:proofErr w:type="gramEnd"/>
      <w:r>
        <w:t>" (далее соответственно - грант, участник мероприятия).</w:t>
      </w:r>
    </w:p>
    <w:p w:rsidR="006F1192" w:rsidRDefault="006F1192">
      <w:pPr>
        <w:pStyle w:val="ConsPlusNormal"/>
        <w:spacing w:before="220"/>
        <w:ind w:firstLine="540"/>
        <w:jc w:val="both"/>
      </w:pPr>
      <w:r>
        <w:t>2. Грант предоставляется на финансовое обеспечение затрат, не возмещаемых в рамках иных направлений государственной поддержки.</w:t>
      </w:r>
    </w:p>
    <w:p w:rsidR="006F1192" w:rsidRDefault="006F1192">
      <w:pPr>
        <w:pStyle w:val="ConsPlusNormal"/>
        <w:spacing w:before="220"/>
        <w:ind w:firstLine="540"/>
        <w:jc w:val="both"/>
      </w:pPr>
      <w:r>
        <w:t>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"Развитие сельского хозяйства Ленинградской области".</w:t>
      </w:r>
    </w:p>
    <w:p w:rsidR="006F1192" w:rsidRDefault="006F1192">
      <w:pPr>
        <w:pStyle w:val="ConsPlusNormal"/>
        <w:spacing w:before="220"/>
        <w:ind w:firstLine="540"/>
        <w:jc w:val="both"/>
      </w:pPr>
      <w:r>
        <w:t>Способом проведения отбора получателей гранта является запрос предложений (заявок).</w:t>
      </w:r>
    </w:p>
    <w:p w:rsidR="006F1192" w:rsidRDefault="006F1192">
      <w:pPr>
        <w:pStyle w:val="ConsPlusNormal"/>
        <w:spacing w:before="220"/>
        <w:ind w:firstLine="540"/>
        <w:jc w:val="both"/>
      </w:pPr>
      <w:r>
        <w:t xml:space="preserve">Участник мероприятия (далее - участник отбора) может направить заявку на участие в отборе на получение гранта только один раз в течение 12 месяцев с даты </w:t>
      </w:r>
      <w:proofErr w:type="gramStart"/>
      <w:r>
        <w:t>размещения результатов отбора участников мероприятия</w:t>
      </w:r>
      <w:proofErr w:type="gramEnd"/>
      <w:r>
        <w:t xml:space="preserve"> на едином портале и на официальном сайте комитета в сети "Интернет".</w:t>
      </w:r>
    </w:p>
    <w:p w:rsidR="006F1192" w:rsidRDefault="006F1192">
      <w:pPr>
        <w:pStyle w:val="ConsPlusNormal"/>
        <w:jc w:val="both"/>
      </w:pPr>
      <w:r>
        <w:t xml:space="preserve">(в ред. </w:t>
      </w:r>
      <w:hyperlink r:id="rId12">
        <w:r>
          <w:rPr>
            <w:color w:val="0000FF"/>
          </w:rPr>
          <w:t>Постановления</w:t>
        </w:r>
      </w:hyperlink>
      <w:r>
        <w:t xml:space="preserve"> Правительства Ленинградской области от 28.02.2024 N 136)</w:t>
      </w:r>
    </w:p>
    <w:p w:rsidR="006F1192" w:rsidRDefault="006F1192">
      <w:pPr>
        <w:pStyle w:val="ConsPlusNormal"/>
        <w:spacing w:before="220"/>
        <w:ind w:firstLine="540"/>
        <w:jc w:val="both"/>
      </w:pPr>
      <w:proofErr w:type="gramStart"/>
      <w:r>
        <w:t>В целях настоящего приложения под планом создания и развития сельскохозяйственного производства понимается бизнес-план, 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roofErr w:type="gramEnd"/>
    </w:p>
    <w:p w:rsidR="006F1192" w:rsidRDefault="006F1192">
      <w:pPr>
        <w:pStyle w:val="ConsPlusNormal"/>
        <w:spacing w:before="220"/>
        <w:ind w:firstLine="540"/>
        <w:jc w:val="both"/>
      </w:pPr>
      <w:r>
        <w:t xml:space="preserve">3. Средства гранта направляются </w:t>
      </w:r>
      <w:proofErr w:type="gramStart"/>
      <w:r>
        <w:t>на</w:t>
      </w:r>
      <w:proofErr w:type="gramEnd"/>
      <w:r>
        <w:t>:</w:t>
      </w:r>
    </w:p>
    <w:p w:rsidR="006F1192" w:rsidRDefault="006F1192">
      <w:pPr>
        <w:pStyle w:val="ConsPlusNormal"/>
        <w:spacing w:before="220"/>
        <w:ind w:firstLine="540"/>
        <w:jc w:val="both"/>
      </w:pPr>
      <w:proofErr w:type="gramStart"/>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roofErr w:type="gramEnd"/>
      <w:r>
        <w:t xml:space="preserve"> Перечень </w:t>
      </w:r>
      <w:proofErr w:type="gramStart"/>
      <w:r>
        <w:t>указанных</w:t>
      </w:r>
      <w:proofErr w:type="gramEnd"/>
      <w:r>
        <w:t xml:space="preserve"> техники, грузового автомобильного транспорта и оборудования утверждается распоряжением комитета;</w:t>
      </w:r>
    </w:p>
    <w:p w:rsidR="006F1192" w:rsidRDefault="006F1192">
      <w:pPr>
        <w:pStyle w:val="ConsPlusNormal"/>
        <w:spacing w:before="220"/>
        <w:ind w:firstLine="540"/>
        <w:jc w:val="both"/>
      </w:pPr>
      <w:r>
        <w:lastRenderedPageBreak/>
        <w:t>приобретение сельскохозяйственных животных (за исключением свиней) и птицы;</w:t>
      </w:r>
    </w:p>
    <w:p w:rsidR="006F1192" w:rsidRDefault="006F1192">
      <w:pPr>
        <w:pStyle w:val="ConsPlusNormal"/>
        <w:spacing w:before="220"/>
        <w:ind w:firstLine="540"/>
        <w:jc w:val="both"/>
      </w:pPr>
      <w:r>
        <w:t>приобретение семян и посадочного материала;</w:t>
      </w:r>
    </w:p>
    <w:p w:rsidR="006F1192" w:rsidRDefault="006F1192">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20.10.2023 N 728)</w:t>
      </w:r>
    </w:p>
    <w:p w:rsidR="006F1192" w:rsidRDefault="006F1192">
      <w:pPr>
        <w:pStyle w:val="ConsPlusNormal"/>
        <w:spacing w:before="220"/>
        <w:ind w:firstLine="540"/>
        <w:jc w:val="both"/>
      </w:pPr>
      <w:r>
        <w:t>приобретение минеральных удобрений и пестицидов;</w:t>
      </w:r>
    </w:p>
    <w:p w:rsidR="006F1192" w:rsidRDefault="006F1192">
      <w:pPr>
        <w:pStyle w:val="ConsPlusNormal"/>
        <w:spacing w:before="220"/>
        <w:ind w:firstLine="540"/>
        <w:jc w:val="both"/>
      </w:pPr>
      <w:r>
        <w:t>приобретение ограждений, предусмотренных для выпаса и выгула сельскохозяйственных животных, и ограждений плодово-ягодных насаждений.</w:t>
      </w:r>
    </w:p>
    <w:p w:rsidR="006F1192" w:rsidRDefault="006F1192">
      <w:pPr>
        <w:pStyle w:val="ConsPlusNormal"/>
        <w:spacing w:before="220"/>
        <w:ind w:firstLine="540"/>
        <w:jc w:val="both"/>
      </w:pPr>
      <w:r>
        <w:t>4. Срок освоения гранта составляет не более 24 месяцев со дня его поступления на счет победителя отбора.</w:t>
      </w:r>
    </w:p>
    <w:p w:rsidR="006F1192" w:rsidRDefault="006F1192">
      <w:pPr>
        <w:pStyle w:val="ConsPlusNormal"/>
        <w:spacing w:before="220"/>
        <w:ind w:firstLine="540"/>
        <w:jc w:val="both"/>
      </w:pPr>
      <w:r>
        <w:t>Имущество, приобретаемое с участием сре</w:t>
      </w:r>
      <w:proofErr w:type="gramStart"/>
      <w:r>
        <w:t>дств гр</w:t>
      </w:r>
      <w:proofErr w:type="gramEnd"/>
      <w:r>
        <w:t>анта:</w:t>
      </w:r>
    </w:p>
    <w:p w:rsidR="006F1192" w:rsidRDefault="006F1192">
      <w:pPr>
        <w:pStyle w:val="ConsPlusNormal"/>
        <w:spacing w:before="220"/>
        <w:ind w:firstLine="540"/>
        <w:jc w:val="both"/>
      </w:pPr>
      <w:r>
        <w:t>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6F1192" w:rsidRDefault="006F1192">
      <w:pPr>
        <w:pStyle w:val="ConsPlusNormal"/>
        <w:spacing w:before="220"/>
        <w:ind w:firstLine="540"/>
        <w:jc w:val="both"/>
      </w:pPr>
      <w:r>
        <w:t>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rsidR="006F1192" w:rsidRDefault="006F1192">
      <w:pPr>
        <w:pStyle w:val="ConsPlusNormal"/>
        <w:spacing w:before="220"/>
        <w:ind w:firstLine="540"/>
        <w:jc w:val="both"/>
      </w:pPr>
      <w:r>
        <w:t>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6F1192" w:rsidRDefault="006F1192">
      <w:pPr>
        <w:pStyle w:val="ConsPlusNormal"/>
        <w:spacing w:before="220"/>
        <w:ind w:firstLine="540"/>
        <w:jc w:val="both"/>
      </w:pPr>
      <w:r>
        <w:t>Не допускается приобретение за счет сре</w:t>
      </w:r>
      <w:proofErr w:type="gramStart"/>
      <w:r>
        <w:t>дств гр</w:t>
      </w:r>
      <w:proofErr w:type="gramEnd"/>
      <w:r>
        <w:t>анта имущества, ранее приобретенного продавцом с использованием средств государственной поддержки.</w:t>
      </w:r>
    </w:p>
    <w:p w:rsidR="006F1192" w:rsidRDefault="006F1192">
      <w:pPr>
        <w:pStyle w:val="ConsPlusNormal"/>
        <w:spacing w:before="220"/>
        <w:ind w:firstLine="540"/>
        <w:jc w:val="both"/>
      </w:pPr>
      <w:r>
        <w:t xml:space="preserve">5. Участник отбора должен соответствовать требованиям, установленным </w:t>
      </w:r>
      <w:hyperlink r:id="rId14">
        <w:r>
          <w:rPr>
            <w:color w:val="0000FF"/>
          </w:rPr>
          <w:t>пунктом 2.3</w:t>
        </w:r>
      </w:hyperlink>
      <w:r>
        <w:t xml:space="preserve"> настоящего Порядка, и следующим дополнительным требованиям:</w:t>
      </w:r>
    </w:p>
    <w:p w:rsidR="006F1192" w:rsidRDefault="006F1192">
      <w:pPr>
        <w:pStyle w:val="ConsPlusNormal"/>
        <w:spacing w:before="220"/>
        <w:ind w:firstLine="540"/>
        <w:jc w:val="both"/>
      </w:pPr>
      <w:r>
        <w:t>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rsidR="006F1192" w:rsidRDefault="006F1192">
      <w:pPr>
        <w:pStyle w:val="ConsPlusNormal"/>
        <w:spacing w:before="220"/>
        <w:ind w:firstLine="540"/>
        <w:jc w:val="both"/>
      </w:pPr>
      <w:r>
        <w:t xml:space="preserve">2) состоит в едином реестре субъектов малого и среднего предпринимательства в соответствии с Федеральным </w:t>
      </w:r>
      <w:hyperlink r:id="rId15">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6F1192" w:rsidRDefault="006F1192">
      <w:pPr>
        <w:pStyle w:val="ConsPlusNormal"/>
        <w:spacing w:before="220"/>
        <w:ind w:firstLine="540"/>
        <w:jc w:val="both"/>
      </w:pPr>
      <w:r>
        <w:t xml:space="preserve">6. Грант предоставляется в размере, не превышающем 3 </w:t>
      </w:r>
      <w:proofErr w:type="gramStart"/>
      <w:r>
        <w:t>млн</w:t>
      </w:r>
      <w:proofErr w:type="gramEnd"/>
      <w:r>
        <w:t xml:space="preserve"> рублей, в соответствии с планом расходов победителя отбора.</w:t>
      </w:r>
    </w:p>
    <w:p w:rsidR="006F1192" w:rsidRDefault="006F1192">
      <w:pPr>
        <w:pStyle w:val="ConsPlusNormal"/>
        <w:spacing w:before="220"/>
        <w:ind w:firstLine="540"/>
        <w:jc w:val="both"/>
      </w:pPr>
      <w:r>
        <w:t xml:space="preserve">7. Участниками отбора в дополнение к документам, указанным в </w:t>
      </w:r>
      <w:hyperlink r:id="rId16">
        <w:r>
          <w:rPr>
            <w:color w:val="0000FF"/>
          </w:rPr>
          <w:t>пункте 2.4</w:t>
        </w:r>
      </w:hyperlink>
      <w:r>
        <w:t xml:space="preserve"> настоящего Порядка, представляются следующие документы:</w:t>
      </w:r>
    </w:p>
    <w:p w:rsidR="006F1192" w:rsidRDefault="006F1192">
      <w:pPr>
        <w:pStyle w:val="ConsPlusNormal"/>
        <w:spacing w:before="220"/>
        <w:ind w:firstLine="540"/>
        <w:jc w:val="both"/>
      </w:pPr>
      <w:r>
        <w:t>заявление по форме, утвержденной приказом комитета;</w:t>
      </w:r>
    </w:p>
    <w:p w:rsidR="006F1192" w:rsidRDefault="006F1192">
      <w:pPr>
        <w:pStyle w:val="ConsPlusNormal"/>
        <w:jc w:val="both"/>
      </w:pPr>
      <w:r>
        <w:t xml:space="preserve">(абзац введен </w:t>
      </w:r>
      <w:hyperlink r:id="rId17">
        <w:r>
          <w:rPr>
            <w:color w:val="0000FF"/>
          </w:rPr>
          <w:t>Постановлением</w:t>
        </w:r>
      </w:hyperlink>
      <w:r>
        <w:t xml:space="preserve"> Правительства Ленинградской области от 28.02.2024 N 136)</w:t>
      </w:r>
    </w:p>
    <w:p w:rsidR="006F1192" w:rsidRDefault="006F1192">
      <w:pPr>
        <w:pStyle w:val="ConsPlusNormal"/>
        <w:spacing w:before="220"/>
        <w:ind w:firstLine="540"/>
        <w:jc w:val="both"/>
      </w:pPr>
      <w:r>
        <w:t>копия листа записи Единого государственного реестра юридических лиц (для юридических лиц);</w:t>
      </w:r>
    </w:p>
    <w:p w:rsidR="006F1192" w:rsidRDefault="006F1192">
      <w:pPr>
        <w:pStyle w:val="ConsPlusNormal"/>
        <w:spacing w:before="220"/>
        <w:ind w:firstLine="540"/>
        <w:jc w:val="both"/>
      </w:pPr>
      <w:r>
        <w:t>копия листа записи Единого государственного реестра индивидуальных предпринимателей (для индивидуальных предпринимателей);</w:t>
      </w:r>
    </w:p>
    <w:p w:rsidR="006F1192" w:rsidRDefault="006F1192">
      <w:pPr>
        <w:pStyle w:val="ConsPlusNormal"/>
        <w:spacing w:before="220"/>
        <w:ind w:firstLine="540"/>
        <w:jc w:val="both"/>
      </w:pPr>
      <w:r>
        <w:t>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6F1192" w:rsidRDefault="006F1192">
      <w:pPr>
        <w:pStyle w:val="ConsPlusNormal"/>
        <w:spacing w:before="220"/>
        <w:ind w:firstLine="540"/>
        <w:jc w:val="both"/>
      </w:pPr>
      <w:r>
        <w:lastRenderedPageBreak/>
        <w:t>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rsidR="006F1192" w:rsidRDefault="006F1192">
      <w:pPr>
        <w:pStyle w:val="ConsPlusNormal"/>
        <w:spacing w:before="220"/>
        <w:ind w:firstLine="540"/>
        <w:jc w:val="both"/>
      </w:pPr>
      <w:r>
        <w:t xml:space="preserve">абзацы шестой - седьмой утратили силу с 20 октября 2023 года. - </w:t>
      </w:r>
      <w:hyperlink r:id="rId18">
        <w:r>
          <w:rPr>
            <w:color w:val="0000FF"/>
          </w:rPr>
          <w:t>Постановление</w:t>
        </w:r>
      </w:hyperlink>
      <w:r>
        <w:t xml:space="preserve"> Правительства Ленинградской области от 20.10.2023 N 728;</w:t>
      </w:r>
    </w:p>
    <w:p w:rsidR="006F1192" w:rsidRDefault="006F1192">
      <w:pPr>
        <w:pStyle w:val="ConsPlusNormal"/>
        <w:spacing w:before="220"/>
        <w:ind w:firstLine="540"/>
        <w:jc w:val="both"/>
      </w:pPr>
      <w:r>
        <w:t>обязательство осуществлять сельскохозяйственную деятельность не менее пяти лет с даты полного освоения сре</w:t>
      </w:r>
      <w:proofErr w:type="gramStart"/>
      <w:r>
        <w:t>дств гр</w:t>
      </w:r>
      <w:proofErr w:type="gramEnd"/>
      <w:r>
        <w:t>анта;</w:t>
      </w:r>
    </w:p>
    <w:p w:rsidR="006F1192" w:rsidRDefault="006F1192">
      <w:pPr>
        <w:pStyle w:val="ConsPlusNormal"/>
        <w:jc w:val="both"/>
      </w:pPr>
      <w:r>
        <w:t xml:space="preserve">(в ред. </w:t>
      </w:r>
      <w:hyperlink r:id="rId19">
        <w:r>
          <w:rPr>
            <w:color w:val="0000FF"/>
          </w:rPr>
          <w:t>Постановления</w:t>
        </w:r>
      </w:hyperlink>
      <w:r>
        <w:t xml:space="preserve"> Правительства Ленинградской области от 20.10.2023 N 728)</w:t>
      </w:r>
    </w:p>
    <w:p w:rsidR="006F1192" w:rsidRDefault="006F1192">
      <w:pPr>
        <w:pStyle w:val="ConsPlusNormal"/>
        <w:spacing w:before="220"/>
        <w:ind w:firstLine="540"/>
        <w:jc w:val="both"/>
      </w:pPr>
      <w:r>
        <w:t>обязательство по достижению плановых показателей деятельности, предусмотренных планом создания и развития сельскохозяйственного производства;</w:t>
      </w:r>
    </w:p>
    <w:p w:rsidR="006F1192" w:rsidRDefault="006F1192">
      <w:pPr>
        <w:pStyle w:val="ConsPlusNormal"/>
        <w:spacing w:before="220"/>
        <w:ind w:firstLine="540"/>
        <w:jc w:val="both"/>
      </w:pPr>
      <w:r>
        <w:t xml:space="preserve">решение участника мероприятия о создании </w:t>
      </w:r>
      <w:proofErr w:type="gramStart"/>
      <w:r>
        <w:t>К(</w:t>
      </w:r>
      <w:proofErr w:type="gramEnd"/>
      <w:r>
        <w:t>Ф)Х (о ведении К(Ф)Х в качестве главы К(Ф)Х) или соглашение о создании К(Ф)Х между членами хозяйства и избрании участника мероприятия главой К(Ф)Х.</w:t>
      </w:r>
    </w:p>
    <w:p w:rsidR="006F1192" w:rsidRDefault="006F1192">
      <w:pPr>
        <w:pStyle w:val="ConsPlusNormal"/>
        <w:spacing w:before="220"/>
        <w:ind w:firstLine="540"/>
        <w:jc w:val="both"/>
      </w:pPr>
      <w:r>
        <w:t>8. Результат предоставления гранта - обеспечена реализация плана создания и развития сельскохозяйственного производства участника мероприятия "Ленинградский гектар", направленного на увеличение объема производства сельскохозяйственной продукции (единиц). Значение результата устанавливается соглашением.</w:t>
      </w:r>
    </w:p>
    <w:p w:rsidR="006F1192" w:rsidRDefault="006F1192">
      <w:pPr>
        <w:pStyle w:val="ConsPlusNormal"/>
        <w:spacing w:before="220"/>
        <w:ind w:firstLine="540"/>
        <w:jc w:val="both"/>
      </w:pPr>
      <w:r>
        <w:t>Характеристика результата - реализация проекта получателя гранта.</w:t>
      </w:r>
    </w:p>
    <w:p w:rsidR="006F1192" w:rsidRDefault="006F1192">
      <w:pPr>
        <w:pStyle w:val="ConsPlusNormal"/>
        <w:jc w:val="both"/>
      </w:pPr>
      <w:r>
        <w:t>(</w:t>
      </w:r>
      <w:proofErr w:type="gramStart"/>
      <w:r>
        <w:t>п</w:t>
      </w:r>
      <w:proofErr w:type="gramEnd"/>
      <w:r>
        <w:t xml:space="preserve">. 8 в ред. </w:t>
      </w:r>
      <w:hyperlink r:id="rId20">
        <w:r>
          <w:rPr>
            <w:color w:val="0000FF"/>
          </w:rPr>
          <w:t>Постановления</w:t>
        </w:r>
      </w:hyperlink>
      <w:r>
        <w:t xml:space="preserve"> Правительства Ленинградской области от 28.06.2024 N 452)</w:t>
      </w:r>
    </w:p>
    <w:p w:rsidR="006F1192" w:rsidRDefault="006F1192">
      <w:pPr>
        <w:pStyle w:val="ConsPlusNormal"/>
        <w:spacing w:before="220"/>
        <w:ind w:firstLine="540"/>
        <w:jc w:val="both"/>
      </w:pPr>
      <w:r>
        <w:t>9. В случае наступления обстоятельств непреодолимой силы, препятствующих освоению сре</w:t>
      </w:r>
      <w:proofErr w:type="gramStart"/>
      <w:r>
        <w:t>дств гр</w:t>
      </w:r>
      <w:proofErr w:type="gramEnd"/>
      <w:r>
        <w:t xml:space="preserve">анта в установленный срок, срок освоения средств гранта может быть продлен по решению комитета, но не более чем на шесть месяцев. </w:t>
      </w:r>
      <w:proofErr w:type="gramStart"/>
      <w:r>
        <w:t>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roofErr w:type="gramEnd"/>
    </w:p>
    <w:p w:rsidR="006F1192" w:rsidRDefault="006F1192">
      <w:pPr>
        <w:pStyle w:val="ConsPlusNormal"/>
        <w:spacing w:before="220"/>
        <w:ind w:firstLine="540"/>
        <w:jc w:val="both"/>
      </w:pPr>
      <w:r>
        <w:t xml:space="preserve">10. </w:t>
      </w:r>
      <w:proofErr w:type="gramStart"/>
      <w:r>
        <w:t>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w:t>
      </w:r>
      <w:proofErr w:type="gramEnd"/>
      <w:r>
        <w:t xml:space="preserve"> Отчет о расходах, источником финансового обеспечения которых является грант, представляется в комитет до полного использования сре</w:t>
      </w:r>
      <w:proofErr w:type="gramStart"/>
      <w:r>
        <w:t>дств гр</w:t>
      </w:r>
      <w:proofErr w:type="gramEnd"/>
      <w:r>
        <w:t>анта.</w:t>
      </w:r>
    </w:p>
    <w:p w:rsidR="006F1192" w:rsidRDefault="006F1192">
      <w:pPr>
        <w:pStyle w:val="ConsPlusNormal"/>
        <w:spacing w:before="220"/>
        <w:ind w:firstLine="540"/>
        <w:jc w:val="both"/>
      </w:pPr>
      <w:r>
        <w:t>11. Расходование сре</w:t>
      </w:r>
      <w:proofErr w:type="gramStart"/>
      <w:r>
        <w:t>дств гр</w:t>
      </w:r>
      <w:proofErr w:type="gramEnd"/>
      <w:r>
        <w:t>анта осуществляется только в пределах и по направлениям плана расходов получателя гранта.</w:t>
      </w:r>
    </w:p>
    <w:p w:rsidR="006F1192" w:rsidRDefault="006F1192">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решения комитета по заявлению получателя гранта только по направлениям расходования, указанным в плане создания и развития сельскохозяйственного производства и в соглашении, в случаях:</w:t>
      </w:r>
    </w:p>
    <w:p w:rsidR="006F1192" w:rsidRDefault="006F1192">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20.10.2023 N 728)</w:t>
      </w:r>
    </w:p>
    <w:p w:rsidR="006F1192" w:rsidRDefault="006F1192">
      <w:pPr>
        <w:pStyle w:val="ConsPlusNormal"/>
        <w:spacing w:before="220"/>
        <w:ind w:firstLine="540"/>
        <w:jc w:val="both"/>
      </w:pPr>
      <w:r>
        <w:t>возникновения обстоятельств непреодолимой силы;</w:t>
      </w:r>
    </w:p>
    <w:p w:rsidR="006F1192" w:rsidRDefault="006F1192">
      <w:pPr>
        <w:pStyle w:val="ConsPlusNormal"/>
        <w:jc w:val="both"/>
      </w:pPr>
      <w:r>
        <w:t xml:space="preserve">(в ред. </w:t>
      </w:r>
      <w:hyperlink r:id="rId22">
        <w:r>
          <w:rPr>
            <w:color w:val="0000FF"/>
          </w:rPr>
          <w:t>Постановления</w:t>
        </w:r>
      </w:hyperlink>
      <w:r>
        <w:t xml:space="preserve"> Правительства Ленинградской области от 20.10.2023 N 728)</w:t>
      </w:r>
    </w:p>
    <w:p w:rsidR="006F1192" w:rsidRDefault="006F1192">
      <w:pPr>
        <w:pStyle w:val="ConsPlusNormal"/>
        <w:spacing w:before="220"/>
        <w:ind w:firstLine="540"/>
        <w:jc w:val="both"/>
      </w:pPr>
      <w:r>
        <w:t>роста цен на товары, предусмотренные планом расходов (далее - товары);</w:t>
      </w:r>
    </w:p>
    <w:p w:rsidR="006F1192" w:rsidRDefault="006F1192">
      <w:pPr>
        <w:pStyle w:val="ConsPlusNormal"/>
        <w:spacing w:before="220"/>
        <w:ind w:firstLine="540"/>
        <w:jc w:val="both"/>
      </w:pPr>
      <w:r>
        <w:lastRenderedPageBreak/>
        <w:t>длительного отсутствия (не менее трех месяцев) на рынке товаров, отказа поставщика либо снятия товаров с производства - при условии представления предварительных договоров на приобретение товаров.</w:t>
      </w:r>
    </w:p>
    <w:p w:rsidR="006F1192" w:rsidRDefault="006F1192">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20.10.2023 N 728)</w:t>
      </w:r>
    </w:p>
    <w:p w:rsidR="006F1192" w:rsidRDefault="006F1192">
      <w:pPr>
        <w:pStyle w:val="ConsPlusNormal"/>
        <w:spacing w:before="220"/>
        <w:ind w:firstLine="540"/>
        <w:jc w:val="both"/>
      </w:pPr>
      <w:r>
        <w:t>Внесение изменений в соглашение, а также в плановое значение результата предоставления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осуществляется путем заключения дополнительного соглашения на основании решения комитета по заявлению получателя гранта.</w:t>
      </w:r>
    </w:p>
    <w:p w:rsidR="006F1192" w:rsidRDefault="006F1192">
      <w:pPr>
        <w:pStyle w:val="ConsPlusNormal"/>
        <w:jc w:val="both"/>
      </w:pPr>
      <w:r>
        <w:t xml:space="preserve">(в ред. Постановлений Правительства Ленинградской области от 20.10.2023 </w:t>
      </w:r>
      <w:hyperlink r:id="rId24">
        <w:r>
          <w:rPr>
            <w:color w:val="0000FF"/>
          </w:rPr>
          <w:t>N 728</w:t>
        </w:r>
      </w:hyperlink>
      <w:r>
        <w:t xml:space="preserve">, от 28.06.2024 </w:t>
      </w:r>
      <w:hyperlink r:id="rId25">
        <w:r>
          <w:rPr>
            <w:color w:val="0000FF"/>
          </w:rPr>
          <w:t>N 452</w:t>
        </w:r>
      </w:hyperlink>
      <w:r>
        <w:t>)</w:t>
      </w:r>
    </w:p>
    <w:p w:rsidR="006F1192" w:rsidRDefault="006F1192">
      <w:pPr>
        <w:pStyle w:val="ConsPlusNormal"/>
        <w:spacing w:before="220"/>
        <w:ind w:firstLine="540"/>
        <w:jc w:val="both"/>
      </w:pPr>
      <w:r>
        <w:t>Изменение направления деятельности, указанного в плане создания и развития сельскохозяйственного производства, не допускается.</w:t>
      </w:r>
    </w:p>
    <w:p w:rsidR="006F1192" w:rsidRDefault="006F1192">
      <w:pPr>
        <w:pStyle w:val="ConsPlusNormal"/>
        <w:spacing w:before="220"/>
        <w:ind w:firstLine="540"/>
        <w:jc w:val="both"/>
      </w:pPr>
      <w:r>
        <w:t xml:space="preserve">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w:t>
      </w:r>
      <w:proofErr w:type="gramStart"/>
      <w:r>
        <w:t>с даты расторжения</w:t>
      </w:r>
      <w:proofErr w:type="gramEnd"/>
      <w:r>
        <w:t xml:space="preserve"> договора.</w:t>
      </w:r>
    </w:p>
    <w:p w:rsidR="006F1192" w:rsidRDefault="006F1192">
      <w:pPr>
        <w:pStyle w:val="ConsPlusNormal"/>
      </w:pPr>
      <w:hyperlink r:id="rId26">
        <w:r>
          <w:rPr>
            <w:i/>
            <w:color w:val="0000FF"/>
          </w:rPr>
          <w:br/>
          <w:t>Постановление Правительства Ленинградской области от 04.02.2014 N 15 (ред. от 05.09.2024)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{КонсультантПлюс}</w:t>
        </w:r>
      </w:hyperlink>
      <w:r>
        <w:br/>
      </w:r>
    </w:p>
    <w:p w:rsidR="0054027D" w:rsidRDefault="0054027D">
      <w:bookmarkStart w:id="0" w:name="_GoBack"/>
      <w:bookmarkEnd w:id="0"/>
    </w:p>
    <w:sectPr w:rsidR="0054027D" w:rsidSect="00E54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92"/>
    <w:rsid w:val="0054027D"/>
    <w:rsid w:val="006F1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1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1192"/>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1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119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4447&amp;dst=100169" TargetMode="External"/><Relationship Id="rId13" Type="http://schemas.openxmlformats.org/officeDocument/2006/relationships/hyperlink" Target="https://login.consultant.ru/link/?req=doc&amp;base=SPB&amp;n=281600&amp;dst=100059" TargetMode="External"/><Relationship Id="rId18" Type="http://schemas.openxmlformats.org/officeDocument/2006/relationships/hyperlink" Target="https://login.consultant.ru/link/?req=doc&amp;base=SPB&amp;n=281600&amp;dst=100061" TargetMode="External"/><Relationship Id="rId26" Type="http://schemas.openxmlformats.org/officeDocument/2006/relationships/hyperlink" Target="https://login.consultant.ru/link/?req=doc&amp;base=SPB&amp;n=298077&amp;dst=114369" TargetMode="External"/><Relationship Id="rId3" Type="http://schemas.openxmlformats.org/officeDocument/2006/relationships/settings" Target="settings.xml"/><Relationship Id="rId21" Type="http://schemas.openxmlformats.org/officeDocument/2006/relationships/hyperlink" Target="https://login.consultant.ru/link/?req=doc&amp;base=SPB&amp;n=281600&amp;dst=100064" TargetMode="External"/><Relationship Id="rId7" Type="http://schemas.openxmlformats.org/officeDocument/2006/relationships/hyperlink" Target="https://login.consultant.ru/link/?req=doc&amp;base=SPB&amp;n=288837&amp;dst=100597" TargetMode="External"/><Relationship Id="rId12" Type="http://schemas.openxmlformats.org/officeDocument/2006/relationships/hyperlink" Target="https://login.consultant.ru/link/?req=doc&amp;base=SPB&amp;n=288837&amp;dst=100598" TargetMode="External"/><Relationship Id="rId17" Type="http://schemas.openxmlformats.org/officeDocument/2006/relationships/hyperlink" Target="https://login.consultant.ru/link/?req=doc&amp;base=SPB&amp;n=288837&amp;dst=100599" TargetMode="External"/><Relationship Id="rId25" Type="http://schemas.openxmlformats.org/officeDocument/2006/relationships/hyperlink" Target="https://login.consultant.ru/link/?req=doc&amp;base=SPB&amp;n=294447&amp;dst=100173"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98077&amp;dst=109498" TargetMode="External"/><Relationship Id="rId20" Type="http://schemas.openxmlformats.org/officeDocument/2006/relationships/hyperlink" Target="https://login.consultant.ru/link/?req=doc&amp;base=SPB&amp;n=294447&amp;dst=100170" TargetMode="External"/><Relationship Id="rId1" Type="http://schemas.openxmlformats.org/officeDocument/2006/relationships/styles" Target="styles.xml"/><Relationship Id="rId6" Type="http://schemas.openxmlformats.org/officeDocument/2006/relationships/hyperlink" Target="https://login.consultant.ru/link/?req=doc&amp;base=SPB&amp;n=281600&amp;dst=100058" TargetMode="External"/><Relationship Id="rId11" Type="http://schemas.openxmlformats.org/officeDocument/2006/relationships/hyperlink" Target="https://login.consultant.ru/link/?req=doc&amp;base=SPB&amp;n=297908&amp;dst=194268" TargetMode="External"/><Relationship Id="rId24" Type="http://schemas.openxmlformats.org/officeDocument/2006/relationships/hyperlink" Target="https://login.consultant.ru/link/?req=doc&amp;base=SPB&amp;n=281600&amp;dst=100068" TargetMode="External"/><Relationship Id="rId5" Type="http://schemas.openxmlformats.org/officeDocument/2006/relationships/hyperlink" Target="https://login.consultant.ru/link/?req=doc&amp;base=SPB&amp;n=271242&amp;dst=100637" TargetMode="External"/><Relationship Id="rId15" Type="http://schemas.openxmlformats.org/officeDocument/2006/relationships/hyperlink" Target="https://login.consultant.ru/link/?req=doc&amp;base=LAW&amp;n=477368" TargetMode="External"/><Relationship Id="rId23" Type="http://schemas.openxmlformats.org/officeDocument/2006/relationships/hyperlink" Target="https://login.consultant.ru/link/?req=doc&amp;base=SPB&amp;n=281600&amp;dst=100067" TargetMode="External"/><Relationship Id="rId28" Type="http://schemas.openxmlformats.org/officeDocument/2006/relationships/theme" Target="theme/theme1.xml"/><Relationship Id="rId10" Type="http://schemas.openxmlformats.org/officeDocument/2006/relationships/hyperlink" Target="https://login.consultant.ru/link/?req=doc&amp;base=SPB&amp;n=298077&amp;dst=109453" TargetMode="External"/><Relationship Id="rId19" Type="http://schemas.openxmlformats.org/officeDocument/2006/relationships/hyperlink" Target="https://login.consultant.ru/link/?req=doc&amp;base=SPB&amp;n=281600&amp;dst=100062"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8077&amp;dst=109452" TargetMode="External"/><Relationship Id="rId14" Type="http://schemas.openxmlformats.org/officeDocument/2006/relationships/hyperlink" Target="https://login.consultant.ru/link/?req=doc&amp;base=SPB&amp;n=298077&amp;dst=109488" TargetMode="External"/><Relationship Id="rId22" Type="http://schemas.openxmlformats.org/officeDocument/2006/relationships/hyperlink" Target="https://login.consultant.ru/link/?req=doc&amp;base=SPB&amp;n=281600&amp;dst=10006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2024-09-23T12:29:00Z</dcterms:created>
  <dcterms:modified xsi:type="dcterms:W3CDTF">2024-09-23T12:34:00Z</dcterms:modified>
</cp:coreProperties>
</file>